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4C3AD87B" w:rsidR="007A0C15" w:rsidRPr="009F42B7" w:rsidRDefault="00EF67A8" w:rsidP="00BA015A">
      <w:pPr>
        <w:pStyle w:val="Heading1"/>
        <w:spacing w:before="0" w:after="180"/>
      </w:pPr>
      <w:r>
        <w:t>EASI Cohort 9 2025-26 Prioritization Overview</w:t>
      </w:r>
    </w:p>
    <w:p w14:paraId="24597B20" w14:textId="78B53C2E" w:rsidR="000D3435" w:rsidRPr="000D3435" w:rsidRDefault="000D3435" w:rsidP="000D3435">
      <w:pPr>
        <w:rPr>
          <w:lang w:val="en"/>
        </w:rPr>
      </w:pPr>
      <w:r w:rsidRPr="000D3435">
        <w:rPr>
          <w:lang w:val="en"/>
        </w:rPr>
        <w:t xml:space="preserve">Available grant funding will be distributed to LEAs that meet the criteria within their chosen route(s). All applications will be reviewed and scored based on the rubrics included for each support. In the event the amount requested exceeds the amount available, applications that receive a fundable number of points will be prioritized. Each school will receive a point value based on </w:t>
      </w:r>
      <w:r w:rsidR="00682C1D">
        <w:rPr>
          <w:lang w:val="en"/>
        </w:rPr>
        <w:t>school improvement identification</w:t>
      </w:r>
      <w:r w:rsidR="00655771">
        <w:rPr>
          <w:lang w:val="en"/>
        </w:rPr>
        <w:t>(s)</w:t>
      </w:r>
      <w:r w:rsidRPr="000D3435">
        <w:rPr>
          <w:lang w:val="en"/>
        </w:rPr>
        <w:t xml:space="preserve"> to ensure that schools most in need receive improvement funds. </w:t>
      </w:r>
    </w:p>
    <w:p w14:paraId="4F37C808" w14:textId="4F47A813" w:rsidR="00900DA2" w:rsidRDefault="000D3435" w:rsidP="00750B73">
      <w:pPr>
        <w:rPr>
          <w:lang w:val="en"/>
        </w:rPr>
      </w:pPr>
      <w:r w:rsidRPr="000D3435">
        <w:rPr>
          <w:lang w:val="en"/>
        </w:rPr>
        <w:t xml:space="preserve">Schools eligible for Accountability Pathways funding will be considered first in the allocation of state funds. Other than Accountability Pathways, school-level requests that are fundable will be awarded through state or federal funds according to the school’s priority and identification type(s). </w:t>
      </w:r>
    </w:p>
    <w:p w14:paraId="560A985E" w14:textId="77777777" w:rsidR="00AC394D" w:rsidRDefault="00AC394D" w:rsidP="00AC394D">
      <w:pPr>
        <w:pStyle w:val="Heading2"/>
        <w:rPr>
          <w:lang w:val="en"/>
        </w:rPr>
      </w:pPr>
      <w:r>
        <w:rPr>
          <w:lang w:val="en"/>
        </w:rPr>
        <w:t>Preliminary Prioritization</w:t>
      </w:r>
    </w:p>
    <w:p w14:paraId="1CB139FE" w14:textId="6CA9140F" w:rsidR="00AC394D" w:rsidRPr="00AC394D" w:rsidRDefault="00AC394D" w:rsidP="00AC394D">
      <w:pPr>
        <w:rPr>
          <w:lang w:val="en"/>
        </w:rPr>
      </w:pPr>
      <w:r w:rsidRPr="00437E2D">
        <w:rPr>
          <w:lang w:val="en"/>
        </w:rPr>
        <w:t xml:space="preserve">The list of eligible schools and prioritization points </w:t>
      </w:r>
      <w:r>
        <w:rPr>
          <w:lang w:val="en"/>
        </w:rPr>
        <w:t xml:space="preserve">may </w:t>
      </w:r>
      <w:r w:rsidRPr="00437E2D">
        <w:rPr>
          <w:lang w:val="en"/>
        </w:rPr>
        <w:t xml:space="preserve">change following updates to state and federal identifications that occur through December. Updates that may change </w:t>
      </w:r>
      <w:r>
        <w:rPr>
          <w:lang w:val="en"/>
        </w:rPr>
        <w:t xml:space="preserve">eligibility or </w:t>
      </w:r>
      <w:r w:rsidRPr="00437E2D">
        <w:rPr>
          <w:lang w:val="en"/>
        </w:rPr>
        <w:t xml:space="preserve">prioritization points for a school may include ESSA identification of K-2 schools and successful Request to Reconsider applications that change the state school </w:t>
      </w:r>
      <w:r>
        <w:rPr>
          <w:lang w:val="en"/>
        </w:rPr>
        <w:t>performance framework plan types</w:t>
      </w:r>
      <w:r w:rsidRPr="00437E2D">
        <w:rPr>
          <w:lang w:val="en"/>
        </w:rPr>
        <w:t>.</w:t>
      </w:r>
      <w:r>
        <w:rPr>
          <w:lang w:val="en"/>
        </w:rPr>
        <w:t xml:space="preserve"> As updates to eligibility and prioritization occur with updates to state and federal identifications, the </w:t>
      </w:r>
      <w:hyperlink r:id="rId8" w:history="1">
        <w:r w:rsidRPr="00277E50">
          <w:rPr>
            <w:rStyle w:val="URLChar"/>
            <w:lang w:val="en"/>
          </w:rPr>
          <w:t>EASI Resources &amp; Technical Assistance</w:t>
        </w:r>
      </w:hyperlink>
      <w:r>
        <w:rPr>
          <w:lang w:val="en"/>
        </w:rPr>
        <w:t xml:space="preserve"> webpage will be updated. The final eligibility and prioritization list posted in December will be used for funding decisions.</w:t>
      </w:r>
    </w:p>
    <w:p w14:paraId="20DA249A" w14:textId="77777777" w:rsidR="0023725A" w:rsidRDefault="00900DA2" w:rsidP="00655771">
      <w:pPr>
        <w:pStyle w:val="Heading2"/>
        <w:rPr>
          <w:rStyle w:val="Heading3Char"/>
          <w:rFonts w:cstheme="majorBidi"/>
          <w:b/>
          <w:bCs w:val="0"/>
          <w:color w:val="0F4761" w:themeColor="accent1" w:themeShade="BF"/>
          <w:sz w:val="32"/>
          <w:szCs w:val="32"/>
        </w:rPr>
      </w:pPr>
      <w:r w:rsidRPr="00655771">
        <w:rPr>
          <w:rStyle w:val="Heading3Char"/>
          <w:rFonts w:cstheme="majorBidi"/>
          <w:b/>
          <w:bCs w:val="0"/>
          <w:color w:val="0F4761" w:themeColor="accent1" w:themeShade="BF"/>
          <w:sz w:val="32"/>
          <w:szCs w:val="32"/>
        </w:rPr>
        <w:t>Prioritization</w:t>
      </w:r>
    </w:p>
    <w:p w14:paraId="3C341203" w14:textId="69892681" w:rsidR="00AE0687" w:rsidRDefault="00CB3A1C" w:rsidP="0056571F">
      <w:r>
        <w:t>Prioritization</w:t>
      </w:r>
      <w:r w:rsidR="0056571F">
        <w:t xml:space="preserve"> points </w:t>
      </w:r>
      <w:r>
        <w:t>are based on the school identification types in the federal (ESSA) and state accountability systems. If a school is identified in both accountability systems</w:t>
      </w:r>
      <w:r w:rsidR="00A127BE">
        <w:t xml:space="preserve">, the school receives the point value for whichever identification has higher points (federal or state), then receives 1 bonus point. The tables below outline the prioritization points assigned for each </w:t>
      </w:r>
      <w:r w:rsidR="008F0ECB">
        <w:t xml:space="preserve">school identification type. </w:t>
      </w:r>
    </w:p>
    <w:p w14:paraId="5C2CACEC" w14:textId="5A9AE311" w:rsidR="0038528C" w:rsidRDefault="0038528C" w:rsidP="0038528C">
      <w:pPr>
        <w:pStyle w:val="Heading3"/>
      </w:pPr>
      <w:r>
        <w:t>Table 1- Federal (ESSA) School Identifications</w:t>
      </w:r>
    </w:p>
    <w:tbl>
      <w:tblPr>
        <w:tblW w:w="4574"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81"/>
        <w:gridCol w:w="3148"/>
      </w:tblGrid>
      <w:tr w:rsidR="0038528C" w:rsidRPr="0038528C" w14:paraId="4FA4E187" w14:textId="77777777" w:rsidTr="0038528C">
        <w:trPr>
          <w:tblHeader/>
        </w:trPr>
        <w:tc>
          <w:tcPr>
            <w:tcW w:w="3505" w:type="pct"/>
            <w:tcBorders>
              <w:top w:val="single" w:sz="4" w:space="0" w:color="000000"/>
              <w:left w:val="single" w:sz="4" w:space="0" w:color="000000"/>
              <w:bottom w:val="single" w:sz="4" w:space="0" w:color="000000"/>
              <w:right w:val="single" w:sz="4" w:space="0" w:color="000000"/>
            </w:tcBorders>
            <w:shd w:val="clear" w:color="auto" w:fill="909EE6"/>
            <w:vAlign w:val="center"/>
            <w:hideMark/>
          </w:tcPr>
          <w:p w14:paraId="3C944741" w14:textId="36943BF0" w:rsidR="0038528C" w:rsidRPr="0038528C" w:rsidRDefault="00D3648E" w:rsidP="000A23B0">
            <w:pPr>
              <w:ind w:left="0"/>
              <w:rPr>
                <w:b/>
                <w:szCs w:val="24"/>
                <w:lang w:val="en"/>
              </w:rPr>
            </w:pPr>
            <w:r w:rsidRPr="002E0BAE">
              <w:rPr>
                <w:b/>
                <w:szCs w:val="24"/>
                <w:lang w:val="en"/>
              </w:rPr>
              <w:t xml:space="preserve">Federal (ESSA) School Identification- </w:t>
            </w:r>
            <w:r w:rsidR="0038528C" w:rsidRPr="0038528C">
              <w:rPr>
                <w:b/>
                <w:szCs w:val="24"/>
                <w:lang w:val="en"/>
              </w:rPr>
              <w:t>Criteria</w:t>
            </w:r>
          </w:p>
        </w:tc>
        <w:tc>
          <w:tcPr>
            <w:tcW w:w="1495" w:type="pct"/>
            <w:tcBorders>
              <w:top w:val="single" w:sz="4" w:space="0" w:color="000000"/>
              <w:left w:val="single" w:sz="4" w:space="0" w:color="000000"/>
              <w:bottom w:val="single" w:sz="4" w:space="0" w:color="000000"/>
              <w:right w:val="single" w:sz="4" w:space="0" w:color="000000"/>
            </w:tcBorders>
            <w:shd w:val="clear" w:color="auto" w:fill="909EE6"/>
            <w:vAlign w:val="center"/>
            <w:hideMark/>
          </w:tcPr>
          <w:p w14:paraId="1F7E6993" w14:textId="77777777" w:rsidR="0038528C" w:rsidRPr="0038528C" w:rsidRDefault="0038528C" w:rsidP="0038528C">
            <w:pPr>
              <w:rPr>
                <w:b/>
                <w:szCs w:val="24"/>
                <w:lang w:val="en"/>
              </w:rPr>
            </w:pPr>
            <w:r w:rsidRPr="0038528C">
              <w:rPr>
                <w:b/>
                <w:szCs w:val="24"/>
                <w:lang w:val="en"/>
              </w:rPr>
              <w:t>Prioritization Points</w:t>
            </w:r>
          </w:p>
        </w:tc>
      </w:tr>
      <w:tr w:rsidR="0038528C" w:rsidRPr="0038528C" w14:paraId="0E4F4775" w14:textId="77777777" w:rsidTr="0038528C">
        <w:trPr>
          <w:trHeight w:val="238"/>
        </w:trPr>
        <w:tc>
          <w:tcPr>
            <w:tcW w:w="3505" w:type="pct"/>
            <w:tcBorders>
              <w:top w:val="single" w:sz="4" w:space="0" w:color="000000"/>
              <w:left w:val="single" w:sz="4" w:space="0" w:color="000000"/>
              <w:bottom w:val="single" w:sz="4" w:space="0" w:color="000000"/>
              <w:right w:val="single" w:sz="4" w:space="0" w:color="000000"/>
            </w:tcBorders>
            <w:vAlign w:val="center"/>
            <w:hideMark/>
          </w:tcPr>
          <w:p w14:paraId="036CC992" w14:textId="77777777" w:rsidR="0038528C" w:rsidRPr="0038528C" w:rsidRDefault="0038528C" w:rsidP="0038528C">
            <w:pPr>
              <w:ind w:left="0"/>
              <w:rPr>
                <w:szCs w:val="24"/>
                <w:lang w:val="en"/>
              </w:rPr>
            </w:pPr>
            <w:r w:rsidRPr="0038528C">
              <w:rPr>
                <w:szCs w:val="24"/>
                <w:lang w:val="en"/>
              </w:rPr>
              <w:t>Comprehensive Support (CS) Lowest 5% or Low Graduation Year 4+</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7F7D8B20" w14:textId="77777777" w:rsidR="0038528C" w:rsidRPr="0038528C" w:rsidRDefault="0038528C" w:rsidP="0038528C">
            <w:pPr>
              <w:jc w:val="center"/>
              <w:rPr>
                <w:szCs w:val="24"/>
                <w:lang w:val="en"/>
              </w:rPr>
            </w:pPr>
            <w:r w:rsidRPr="0038528C">
              <w:rPr>
                <w:szCs w:val="24"/>
                <w:lang w:val="en"/>
              </w:rPr>
              <w:t>8</w:t>
            </w:r>
          </w:p>
        </w:tc>
      </w:tr>
      <w:tr w:rsidR="0038528C" w:rsidRPr="0038528C" w14:paraId="750E0C65" w14:textId="77777777" w:rsidTr="0038528C">
        <w:trPr>
          <w:trHeight w:val="255"/>
        </w:trPr>
        <w:tc>
          <w:tcPr>
            <w:tcW w:w="3505" w:type="pct"/>
            <w:tcBorders>
              <w:top w:val="single" w:sz="4" w:space="0" w:color="000000"/>
              <w:left w:val="single" w:sz="4" w:space="0" w:color="000000"/>
              <w:bottom w:val="single" w:sz="4" w:space="0" w:color="000000"/>
              <w:right w:val="single" w:sz="4" w:space="0" w:color="000000"/>
            </w:tcBorders>
            <w:vAlign w:val="center"/>
            <w:hideMark/>
          </w:tcPr>
          <w:p w14:paraId="12751EA9" w14:textId="77777777" w:rsidR="0038528C" w:rsidRPr="0038528C" w:rsidRDefault="0038528C" w:rsidP="0038528C">
            <w:pPr>
              <w:ind w:left="0"/>
              <w:rPr>
                <w:szCs w:val="24"/>
                <w:lang w:val="en"/>
              </w:rPr>
            </w:pPr>
            <w:r w:rsidRPr="0038528C">
              <w:rPr>
                <w:szCs w:val="24"/>
                <w:lang w:val="en"/>
              </w:rPr>
              <w:t xml:space="preserve">Comprehensive Support (CS) Lowest 5% </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3225F3FD" w14:textId="77777777" w:rsidR="0038528C" w:rsidRPr="0038528C" w:rsidRDefault="0038528C" w:rsidP="0038528C">
            <w:pPr>
              <w:jc w:val="center"/>
              <w:rPr>
                <w:szCs w:val="24"/>
                <w:lang w:val="en"/>
              </w:rPr>
            </w:pPr>
            <w:r w:rsidRPr="0038528C">
              <w:rPr>
                <w:szCs w:val="24"/>
                <w:lang w:val="en"/>
              </w:rPr>
              <w:t>6</w:t>
            </w:r>
          </w:p>
        </w:tc>
      </w:tr>
      <w:tr w:rsidR="0038528C" w:rsidRPr="0038528C" w14:paraId="3CA855D0" w14:textId="77777777" w:rsidTr="0038528C">
        <w:tc>
          <w:tcPr>
            <w:tcW w:w="3505" w:type="pct"/>
            <w:tcBorders>
              <w:top w:val="single" w:sz="4" w:space="0" w:color="000000"/>
              <w:left w:val="single" w:sz="4" w:space="0" w:color="000000"/>
              <w:bottom w:val="single" w:sz="4" w:space="0" w:color="000000"/>
              <w:right w:val="single" w:sz="4" w:space="0" w:color="000000"/>
            </w:tcBorders>
            <w:vAlign w:val="center"/>
            <w:hideMark/>
          </w:tcPr>
          <w:p w14:paraId="36FE7694" w14:textId="77777777" w:rsidR="0038528C" w:rsidRPr="0038528C" w:rsidRDefault="0038528C" w:rsidP="0038528C">
            <w:pPr>
              <w:ind w:left="0"/>
              <w:rPr>
                <w:szCs w:val="24"/>
                <w:lang w:val="en"/>
              </w:rPr>
            </w:pPr>
            <w:r w:rsidRPr="0038528C">
              <w:rPr>
                <w:szCs w:val="24"/>
                <w:lang w:val="en"/>
              </w:rPr>
              <w:t>Comprehensive Support (CS) Low Graduation</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5B17D738" w14:textId="77777777" w:rsidR="0038528C" w:rsidRPr="0038528C" w:rsidRDefault="0038528C" w:rsidP="0038528C">
            <w:pPr>
              <w:jc w:val="center"/>
              <w:rPr>
                <w:szCs w:val="24"/>
                <w:lang w:val="en"/>
              </w:rPr>
            </w:pPr>
            <w:r w:rsidRPr="0038528C">
              <w:rPr>
                <w:szCs w:val="24"/>
                <w:lang w:val="en"/>
              </w:rPr>
              <w:t>6</w:t>
            </w:r>
          </w:p>
        </w:tc>
      </w:tr>
      <w:tr w:rsidR="0038528C" w:rsidRPr="0038528C" w14:paraId="2C769865" w14:textId="77777777" w:rsidTr="0038528C">
        <w:tc>
          <w:tcPr>
            <w:tcW w:w="3505" w:type="pct"/>
            <w:tcBorders>
              <w:top w:val="single" w:sz="4" w:space="0" w:color="000000"/>
              <w:left w:val="single" w:sz="4" w:space="0" w:color="000000"/>
              <w:bottom w:val="single" w:sz="4" w:space="0" w:color="000000"/>
              <w:right w:val="single" w:sz="4" w:space="0" w:color="000000"/>
            </w:tcBorders>
            <w:vAlign w:val="center"/>
            <w:hideMark/>
          </w:tcPr>
          <w:p w14:paraId="20F0D791" w14:textId="77777777" w:rsidR="0038528C" w:rsidRPr="0038528C" w:rsidRDefault="0038528C" w:rsidP="0038528C">
            <w:pPr>
              <w:ind w:left="0"/>
              <w:rPr>
                <w:szCs w:val="24"/>
                <w:lang w:val="en"/>
              </w:rPr>
            </w:pPr>
            <w:r w:rsidRPr="0038528C">
              <w:rPr>
                <w:szCs w:val="24"/>
                <w:lang w:val="en"/>
              </w:rPr>
              <w:t>Comprehensive Support (CS) - Persistently ATS (more than 3 years ATS for same student group)</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528AA8B2" w14:textId="77777777" w:rsidR="0038528C" w:rsidRPr="0038528C" w:rsidRDefault="0038528C" w:rsidP="0038528C">
            <w:pPr>
              <w:jc w:val="center"/>
              <w:rPr>
                <w:szCs w:val="24"/>
                <w:lang w:val="en"/>
              </w:rPr>
            </w:pPr>
            <w:r w:rsidRPr="0038528C">
              <w:rPr>
                <w:szCs w:val="24"/>
                <w:lang w:val="en"/>
              </w:rPr>
              <w:t>6</w:t>
            </w:r>
          </w:p>
        </w:tc>
      </w:tr>
      <w:tr w:rsidR="0038528C" w:rsidRPr="0038528C" w14:paraId="077F26E3" w14:textId="77777777" w:rsidTr="0038528C">
        <w:tc>
          <w:tcPr>
            <w:tcW w:w="3505" w:type="pct"/>
            <w:tcBorders>
              <w:top w:val="single" w:sz="4" w:space="0" w:color="000000"/>
              <w:left w:val="single" w:sz="4" w:space="0" w:color="000000"/>
              <w:bottom w:val="single" w:sz="4" w:space="0" w:color="000000"/>
              <w:right w:val="single" w:sz="4" w:space="0" w:color="000000"/>
            </w:tcBorders>
            <w:vAlign w:val="center"/>
            <w:hideMark/>
          </w:tcPr>
          <w:p w14:paraId="5CC12B76" w14:textId="77777777" w:rsidR="0038528C" w:rsidRPr="0038528C" w:rsidRDefault="0038528C" w:rsidP="0038528C">
            <w:pPr>
              <w:ind w:left="0"/>
              <w:rPr>
                <w:szCs w:val="24"/>
                <w:lang w:val="en"/>
              </w:rPr>
            </w:pPr>
            <w:r w:rsidRPr="0038528C">
              <w:rPr>
                <w:szCs w:val="24"/>
                <w:lang w:val="en"/>
              </w:rPr>
              <w:t xml:space="preserve">Additional Targeted Support &amp; Improvement (ATS) </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79AD46B9" w14:textId="77777777" w:rsidR="0038528C" w:rsidRPr="0038528C" w:rsidRDefault="0038528C" w:rsidP="0038528C">
            <w:pPr>
              <w:jc w:val="center"/>
              <w:rPr>
                <w:szCs w:val="24"/>
                <w:lang w:val="en"/>
              </w:rPr>
            </w:pPr>
            <w:r w:rsidRPr="0038528C">
              <w:rPr>
                <w:szCs w:val="24"/>
                <w:lang w:val="en"/>
              </w:rPr>
              <w:t>5</w:t>
            </w:r>
          </w:p>
        </w:tc>
      </w:tr>
      <w:tr w:rsidR="0038528C" w:rsidRPr="0038528C" w14:paraId="22E7D73C" w14:textId="77777777" w:rsidTr="0038528C">
        <w:tc>
          <w:tcPr>
            <w:tcW w:w="3505" w:type="pct"/>
            <w:tcBorders>
              <w:top w:val="single" w:sz="4" w:space="0" w:color="000000"/>
              <w:left w:val="single" w:sz="4" w:space="0" w:color="000000"/>
              <w:bottom w:val="single" w:sz="4" w:space="0" w:color="000000"/>
              <w:right w:val="single" w:sz="4" w:space="0" w:color="000000"/>
            </w:tcBorders>
            <w:vAlign w:val="center"/>
            <w:hideMark/>
          </w:tcPr>
          <w:p w14:paraId="340399B9" w14:textId="77777777" w:rsidR="0038528C" w:rsidRPr="0038528C" w:rsidRDefault="0038528C" w:rsidP="0038528C">
            <w:pPr>
              <w:ind w:left="0"/>
              <w:rPr>
                <w:szCs w:val="24"/>
                <w:lang w:val="en"/>
              </w:rPr>
            </w:pPr>
            <w:r w:rsidRPr="0038528C">
              <w:rPr>
                <w:szCs w:val="24"/>
                <w:lang w:val="en"/>
              </w:rPr>
              <w:t xml:space="preserve">Comprehensive Support (CS) Lowest 5% - on Watch </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092D1E16" w14:textId="77777777" w:rsidR="0038528C" w:rsidRPr="0038528C" w:rsidRDefault="0038528C" w:rsidP="0038528C">
            <w:pPr>
              <w:jc w:val="center"/>
              <w:rPr>
                <w:szCs w:val="24"/>
                <w:lang w:val="en"/>
              </w:rPr>
            </w:pPr>
            <w:r w:rsidRPr="0038528C">
              <w:rPr>
                <w:szCs w:val="24"/>
                <w:lang w:val="en"/>
              </w:rPr>
              <w:t>4</w:t>
            </w:r>
          </w:p>
        </w:tc>
      </w:tr>
      <w:tr w:rsidR="0038528C" w:rsidRPr="0038528C" w14:paraId="7F3EF06A" w14:textId="77777777" w:rsidTr="0038528C">
        <w:tc>
          <w:tcPr>
            <w:tcW w:w="3505" w:type="pct"/>
            <w:tcBorders>
              <w:top w:val="single" w:sz="4" w:space="0" w:color="000000"/>
              <w:left w:val="single" w:sz="4" w:space="0" w:color="000000"/>
              <w:bottom w:val="single" w:sz="4" w:space="0" w:color="000000"/>
              <w:right w:val="single" w:sz="4" w:space="0" w:color="000000"/>
            </w:tcBorders>
            <w:vAlign w:val="center"/>
            <w:hideMark/>
          </w:tcPr>
          <w:p w14:paraId="3338D6D7" w14:textId="77777777" w:rsidR="0038528C" w:rsidRPr="0038528C" w:rsidRDefault="0038528C" w:rsidP="0038528C">
            <w:pPr>
              <w:ind w:left="0"/>
              <w:rPr>
                <w:szCs w:val="24"/>
                <w:lang w:val="en"/>
              </w:rPr>
            </w:pPr>
            <w:r w:rsidRPr="0038528C">
              <w:rPr>
                <w:szCs w:val="24"/>
                <w:lang w:val="en"/>
              </w:rPr>
              <w:t>Comprehensive Support (CS) Low Graduation - on Watch</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2696B8DE" w14:textId="77777777" w:rsidR="0038528C" w:rsidRPr="0038528C" w:rsidRDefault="0038528C" w:rsidP="0038528C">
            <w:pPr>
              <w:jc w:val="center"/>
              <w:rPr>
                <w:szCs w:val="24"/>
                <w:lang w:val="en"/>
              </w:rPr>
            </w:pPr>
            <w:r w:rsidRPr="0038528C">
              <w:rPr>
                <w:szCs w:val="24"/>
                <w:lang w:val="en"/>
              </w:rPr>
              <w:t>4</w:t>
            </w:r>
          </w:p>
        </w:tc>
      </w:tr>
      <w:tr w:rsidR="0038528C" w:rsidRPr="0038528C" w14:paraId="7CDE337C" w14:textId="77777777" w:rsidTr="0038528C">
        <w:tc>
          <w:tcPr>
            <w:tcW w:w="3505" w:type="pct"/>
            <w:tcBorders>
              <w:top w:val="single" w:sz="4" w:space="0" w:color="000000"/>
              <w:left w:val="single" w:sz="4" w:space="0" w:color="000000"/>
              <w:bottom w:val="single" w:sz="4" w:space="0" w:color="000000"/>
              <w:right w:val="single" w:sz="4" w:space="0" w:color="000000"/>
            </w:tcBorders>
            <w:vAlign w:val="center"/>
            <w:hideMark/>
          </w:tcPr>
          <w:p w14:paraId="2C9A158F" w14:textId="77777777" w:rsidR="0038528C" w:rsidRPr="0038528C" w:rsidRDefault="0038528C" w:rsidP="0038528C">
            <w:pPr>
              <w:ind w:left="0"/>
              <w:rPr>
                <w:szCs w:val="24"/>
                <w:lang w:val="en"/>
              </w:rPr>
            </w:pPr>
            <w:r w:rsidRPr="0038528C">
              <w:rPr>
                <w:szCs w:val="24"/>
                <w:lang w:val="en"/>
              </w:rPr>
              <w:lastRenderedPageBreak/>
              <w:t xml:space="preserve">Targeted Support &amp; Improvement (TS) </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2E39DCF3" w14:textId="77777777" w:rsidR="0038528C" w:rsidRPr="0038528C" w:rsidRDefault="0038528C" w:rsidP="0038528C">
            <w:pPr>
              <w:jc w:val="center"/>
              <w:rPr>
                <w:szCs w:val="24"/>
                <w:lang w:val="en"/>
              </w:rPr>
            </w:pPr>
            <w:r w:rsidRPr="0038528C">
              <w:rPr>
                <w:szCs w:val="24"/>
                <w:lang w:val="en"/>
              </w:rPr>
              <w:t>3</w:t>
            </w:r>
          </w:p>
        </w:tc>
      </w:tr>
      <w:tr w:rsidR="0038528C" w:rsidRPr="0038528C" w14:paraId="01429543" w14:textId="77777777" w:rsidTr="0038528C">
        <w:tc>
          <w:tcPr>
            <w:tcW w:w="3505" w:type="pct"/>
            <w:tcBorders>
              <w:top w:val="single" w:sz="4" w:space="0" w:color="000000"/>
              <w:left w:val="single" w:sz="4" w:space="0" w:color="000000"/>
              <w:bottom w:val="single" w:sz="4" w:space="0" w:color="000000"/>
              <w:right w:val="single" w:sz="4" w:space="0" w:color="000000"/>
            </w:tcBorders>
            <w:vAlign w:val="center"/>
            <w:hideMark/>
          </w:tcPr>
          <w:p w14:paraId="736A1ABF" w14:textId="77777777" w:rsidR="0038528C" w:rsidRPr="0038528C" w:rsidRDefault="0038528C" w:rsidP="0038528C">
            <w:pPr>
              <w:ind w:left="0"/>
              <w:rPr>
                <w:szCs w:val="24"/>
                <w:lang w:val="en"/>
              </w:rPr>
            </w:pPr>
            <w:r w:rsidRPr="0038528C">
              <w:rPr>
                <w:szCs w:val="24"/>
                <w:lang w:val="en"/>
              </w:rPr>
              <w:t>Targeted Support &amp; Improvement or Additional Targeted Support &amp; Improvement - Not Exited by District</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48911795" w14:textId="77777777" w:rsidR="0038528C" w:rsidRPr="0038528C" w:rsidRDefault="0038528C" w:rsidP="0038528C">
            <w:pPr>
              <w:jc w:val="center"/>
              <w:rPr>
                <w:szCs w:val="24"/>
                <w:lang w:val="en"/>
              </w:rPr>
            </w:pPr>
            <w:r w:rsidRPr="0038528C">
              <w:rPr>
                <w:szCs w:val="24"/>
                <w:lang w:val="en"/>
              </w:rPr>
              <w:t>2</w:t>
            </w:r>
          </w:p>
        </w:tc>
      </w:tr>
      <w:tr w:rsidR="0038528C" w:rsidRPr="0038528C" w14:paraId="78C7154F" w14:textId="77777777" w:rsidTr="0038528C">
        <w:tc>
          <w:tcPr>
            <w:tcW w:w="3505" w:type="pct"/>
            <w:tcBorders>
              <w:top w:val="single" w:sz="4" w:space="0" w:color="000000"/>
              <w:left w:val="single" w:sz="4" w:space="0" w:color="000000"/>
              <w:bottom w:val="single" w:sz="4" w:space="0" w:color="000000"/>
              <w:right w:val="single" w:sz="4" w:space="0" w:color="000000"/>
            </w:tcBorders>
            <w:vAlign w:val="center"/>
            <w:hideMark/>
          </w:tcPr>
          <w:p w14:paraId="7264CE8E" w14:textId="77777777" w:rsidR="0038528C" w:rsidRPr="0038528C" w:rsidRDefault="0038528C" w:rsidP="0038528C">
            <w:pPr>
              <w:ind w:left="0"/>
              <w:rPr>
                <w:szCs w:val="24"/>
                <w:lang w:val="en"/>
              </w:rPr>
            </w:pPr>
            <w:r w:rsidRPr="0038528C">
              <w:rPr>
                <w:szCs w:val="24"/>
                <w:lang w:val="en"/>
              </w:rPr>
              <w:t>Any Federal identification – identified for Participation Only</w:t>
            </w:r>
          </w:p>
        </w:tc>
        <w:tc>
          <w:tcPr>
            <w:tcW w:w="1495" w:type="pct"/>
            <w:tcBorders>
              <w:top w:val="single" w:sz="4" w:space="0" w:color="000000"/>
              <w:left w:val="single" w:sz="4" w:space="0" w:color="000000"/>
              <w:bottom w:val="single" w:sz="4" w:space="0" w:color="000000"/>
              <w:right w:val="single" w:sz="4" w:space="0" w:color="000000"/>
            </w:tcBorders>
            <w:vAlign w:val="center"/>
            <w:hideMark/>
          </w:tcPr>
          <w:p w14:paraId="205505AA" w14:textId="77777777" w:rsidR="0038528C" w:rsidRPr="0038528C" w:rsidRDefault="0038528C" w:rsidP="0038528C">
            <w:pPr>
              <w:jc w:val="center"/>
              <w:rPr>
                <w:szCs w:val="24"/>
                <w:lang w:val="en"/>
              </w:rPr>
            </w:pPr>
            <w:r w:rsidRPr="0038528C">
              <w:rPr>
                <w:szCs w:val="24"/>
                <w:lang w:val="en"/>
              </w:rPr>
              <w:t>1</w:t>
            </w:r>
          </w:p>
        </w:tc>
      </w:tr>
    </w:tbl>
    <w:p w14:paraId="33C06588" w14:textId="49EC8584" w:rsidR="0038528C" w:rsidRDefault="0038528C" w:rsidP="00FB5123">
      <w:pPr>
        <w:pStyle w:val="Heading3"/>
      </w:pPr>
      <w:r>
        <w:t>Table 2- State (Accountability Clock</w:t>
      </w:r>
      <w:r w:rsidR="00821BAC">
        <w:t>/Performance Watch</w:t>
      </w:r>
      <w:r>
        <w:t>) School Identifications</w:t>
      </w:r>
    </w:p>
    <w:tbl>
      <w:tblPr>
        <w:tblW w:w="4574"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81"/>
        <w:gridCol w:w="3148"/>
      </w:tblGrid>
      <w:tr w:rsidR="00821BAC" w:rsidRPr="0038528C" w14:paraId="2536D7BB" w14:textId="77777777" w:rsidTr="00FB5123">
        <w:trPr>
          <w:tblHeader/>
        </w:trPr>
        <w:tc>
          <w:tcPr>
            <w:tcW w:w="3505" w:type="pct"/>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hideMark/>
          </w:tcPr>
          <w:p w14:paraId="11EE3847" w14:textId="092C6491" w:rsidR="00821BAC" w:rsidRPr="0038528C" w:rsidRDefault="00D3648E" w:rsidP="000A23B0">
            <w:pPr>
              <w:ind w:left="0"/>
              <w:rPr>
                <w:b/>
                <w:szCs w:val="24"/>
                <w:lang w:val="en"/>
              </w:rPr>
            </w:pPr>
            <w:r w:rsidRPr="002E0BAE">
              <w:rPr>
                <w:b/>
                <w:szCs w:val="24"/>
                <w:lang w:val="en"/>
              </w:rPr>
              <w:t xml:space="preserve">State School Identification- </w:t>
            </w:r>
            <w:r w:rsidR="00821BAC" w:rsidRPr="0038528C">
              <w:rPr>
                <w:b/>
                <w:szCs w:val="24"/>
                <w:lang w:val="en"/>
              </w:rPr>
              <w:t>Criteria</w:t>
            </w:r>
          </w:p>
        </w:tc>
        <w:tc>
          <w:tcPr>
            <w:tcW w:w="1495" w:type="pct"/>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hideMark/>
          </w:tcPr>
          <w:p w14:paraId="7AF1B197" w14:textId="77777777" w:rsidR="00821BAC" w:rsidRPr="0038528C" w:rsidRDefault="00821BAC" w:rsidP="006B4BE2">
            <w:pPr>
              <w:rPr>
                <w:b/>
                <w:szCs w:val="24"/>
                <w:lang w:val="en"/>
              </w:rPr>
            </w:pPr>
            <w:r w:rsidRPr="0038528C">
              <w:rPr>
                <w:b/>
                <w:szCs w:val="24"/>
                <w:lang w:val="en"/>
              </w:rPr>
              <w:t>Prioritization Points</w:t>
            </w:r>
          </w:p>
        </w:tc>
      </w:tr>
      <w:tr w:rsidR="00D3648E" w:rsidRPr="0038528C" w14:paraId="7C09A75B" w14:textId="77777777" w:rsidTr="00D3648E">
        <w:trPr>
          <w:trHeight w:val="238"/>
        </w:trPr>
        <w:tc>
          <w:tcPr>
            <w:tcW w:w="3505" w:type="pct"/>
            <w:tcBorders>
              <w:top w:val="single" w:sz="4" w:space="0" w:color="000000"/>
              <w:left w:val="single" w:sz="4" w:space="0" w:color="000000"/>
              <w:bottom w:val="single" w:sz="4" w:space="0" w:color="000000"/>
              <w:right w:val="single" w:sz="4" w:space="0" w:color="000000"/>
            </w:tcBorders>
            <w:vAlign w:val="center"/>
          </w:tcPr>
          <w:p w14:paraId="43FEEDBC" w14:textId="01B4D0C5" w:rsidR="00D3648E" w:rsidRPr="0038528C" w:rsidRDefault="00D3648E" w:rsidP="00D3648E">
            <w:pPr>
              <w:ind w:left="0"/>
              <w:rPr>
                <w:szCs w:val="24"/>
                <w:lang w:val="en"/>
              </w:rPr>
            </w:pPr>
            <w:r w:rsidRPr="002E0BAE">
              <w:rPr>
                <w:rFonts w:eastAsia="Calibri" w:cs="Calibri"/>
                <w:szCs w:val="24"/>
              </w:rPr>
              <w:t>Year 4+ of Priority Improvement or Turnaround</w:t>
            </w:r>
          </w:p>
        </w:tc>
        <w:tc>
          <w:tcPr>
            <w:tcW w:w="1495" w:type="pct"/>
            <w:tcBorders>
              <w:top w:val="single" w:sz="4" w:space="0" w:color="000000"/>
              <w:left w:val="single" w:sz="4" w:space="0" w:color="000000"/>
              <w:bottom w:val="single" w:sz="4" w:space="0" w:color="000000"/>
              <w:right w:val="single" w:sz="4" w:space="0" w:color="000000"/>
            </w:tcBorders>
            <w:vAlign w:val="center"/>
          </w:tcPr>
          <w:p w14:paraId="25F3261B" w14:textId="10B9C4B3" w:rsidR="00D3648E" w:rsidRPr="0038528C" w:rsidRDefault="00D3648E" w:rsidP="00D3648E">
            <w:pPr>
              <w:jc w:val="center"/>
              <w:rPr>
                <w:szCs w:val="24"/>
                <w:lang w:val="en"/>
              </w:rPr>
            </w:pPr>
            <w:r w:rsidRPr="002E0BAE">
              <w:rPr>
                <w:rFonts w:eastAsia="Calibri" w:cs="Calibri"/>
                <w:szCs w:val="24"/>
              </w:rPr>
              <w:t>8</w:t>
            </w:r>
          </w:p>
        </w:tc>
      </w:tr>
      <w:tr w:rsidR="00D3648E" w:rsidRPr="0038528C" w14:paraId="13ABCC55" w14:textId="77777777" w:rsidTr="00D3648E">
        <w:trPr>
          <w:trHeight w:val="255"/>
        </w:trPr>
        <w:tc>
          <w:tcPr>
            <w:tcW w:w="3505" w:type="pct"/>
            <w:tcBorders>
              <w:top w:val="single" w:sz="4" w:space="0" w:color="000000"/>
              <w:left w:val="single" w:sz="4" w:space="0" w:color="000000"/>
              <w:bottom w:val="single" w:sz="4" w:space="0" w:color="000000"/>
              <w:right w:val="single" w:sz="4" w:space="0" w:color="000000"/>
            </w:tcBorders>
            <w:vAlign w:val="center"/>
          </w:tcPr>
          <w:p w14:paraId="19664E30" w14:textId="41BBC42C" w:rsidR="00D3648E" w:rsidRPr="0038528C" w:rsidRDefault="00D3648E" w:rsidP="00D3648E">
            <w:pPr>
              <w:ind w:left="0"/>
              <w:rPr>
                <w:szCs w:val="24"/>
                <w:lang w:val="en"/>
              </w:rPr>
            </w:pPr>
            <w:r w:rsidRPr="002E0BAE">
              <w:rPr>
                <w:rFonts w:eastAsia="Calibri" w:cs="Calibri"/>
                <w:szCs w:val="24"/>
              </w:rPr>
              <w:t>Year 3 of Priority Improvement or Turnaround</w:t>
            </w:r>
          </w:p>
        </w:tc>
        <w:tc>
          <w:tcPr>
            <w:tcW w:w="1495" w:type="pct"/>
            <w:tcBorders>
              <w:top w:val="single" w:sz="4" w:space="0" w:color="000000"/>
              <w:left w:val="single" w:sz="4" w:space="0" w:color="000000"/>
              <w:bottom w:val="single" w:sz="4" w:space="0" w:color="000000"/>
              <w:right w:val="single" w:sz="4" w:space="0" w:color="000000"/>
            </w:tcBorders>
            <w:vAlign w:val="center"/>
          </w:tcPr>
          <w:p w14:paraId="04D2524B" w14:textId="5B619EDB" w:rsidR="00D3648E" w:rsidRPr="0038528C" w:rsidRDefault="00D3648E" w:rsidP="00D3648E">
            <w:pPr>
              <w:jc w:val="center"/>
              <w:rPr>
                <w:szCs w:val="24"/>
                <w:lang w:val="en"/>
              </w:rPr>
            </w:pPr>
            <w:r w:rsidRPr="002E0BAE">
              <w:rPr>
                <w:rFonts w:eastAsia="Calibri" w:cs="Calibri"/>
                <w:szCs w:val="24"/>
              </w:rPr>
              <w:t>7</w:t>
            </w:r>
          </w:p>
        </w:tc>
      </w:tr>
      <w:tr w:rsidR="00D3648E" w:rsidRPr="0038528C" w14:paraId="7BF108DC" w14:textId="77777777" w:rsidTr="00D3648E">
        <w:tc>
          <w:tcPr>
            <w:tcW w:w="3505" w:type="pct"/>
            <w:tcBorders>
              <w:top w:val="single" w:sz="4" w:space="0" w:color="000000"/>
              <w:left w:val="single" w:sz="4" w:space="0" w:color="000000"/>
              <w:bottom w:val="single" w:sz="4" w:space="0" w:color="000000"/>
              <w:right w:val="single" w:sz="4" w:space="0" w:color="000000"/>
            </w:tcBorders>
            <w:vAlign w:val="center"/>
          </w:tcPr>
          <w:p w14:paraId="40CA9E7D" w14:textId="4B180D5A" w:rsidR="00D3648E" w:rsidRPr="0038528C" w:rsidRDefault="00D3648E" w:rsidP="00D3648E">
            <w:pPr>
              <w:ind w:left="0"/>
              <w:rPr>
                <w:szCs w:val="24"/>
                <w:lang w:val="en"/>
              </w:rPr>
            </w:pPr>
            <w:r w:rsidRPr="002E0BAE">
              <w:rPr>
                <w:rFonts w:eastAsia="Calibri" w:cs="Calibri"/>
                <w:szCs w:val="24"/>
              </w:rPr>
              <w:t>Year 4+ on Watch (Performance/Improvement Year 4+)</w:t>
            </w:r>
          </w:p>
        </w:tc>
        <w:tc>
          <w:tcPr>
            <w:tcW w:w="1495" w:type="pct"/>
            <w:tcBorders>
              <w:top w:val="single" w:sz="4" w:space="0" w:color="000000"/>
              <w:left w:val="single" w:sz="4" w:space="0" w:color="000000"/>
              <w:bottom w:val="single" w:sz="4" w:space="0" w:color="000000"/>
              <w:right w:val="single" w:sz="4" w:space="0" w:color="000000"/>
            </w:tcBorders>
            <w:vAlign w:val="center"/>
          </w:tcPr>
          <w:p w14:paraId="382EF16F" w14:textId="74C50EB5" w:rsidR="00D3648E" w:rsidRPr="0038528C" w:rsidRDefault="00D3648E" w:rsidP="00D3648E">
            <w:pPr>
              <w:jc w:val="center"/>
              <w:rPr>
                <w:szCs w:val="24"/>
                <w:lang w:val="en"/>
              </w:rPr>
            </w:pPr>
            <w:r w:rsidRPr="002E0BAE">
              <w:rPr>
                <w:rFonts w:eastAsia="Calibri" w:cs="Calibri"/>
                <w:szCs w:val="24"/>
              </w:rPr>
              <w:t>6</w:t>
            </w:r>
          </w:p>
        </w:tc>
      </w:tr>
      <w:tr w:rsidR="00D3648E" w:rsidRPr="0038528C" w14:paraId="097DB85B" w14:textId="77777777" w:rsidTr="00D3648E">
        <w:tc>
          <w:tcPr>
            <w:tcW w:w="3505" w:type="pct"/>
            <w:tcBorders>
              <w:top w:val="single" w:sz="4" w:space="0" w:color="000000"/>
              <w:left w:val="single" w:sz="4" w:space="0" w:color="000000"/>
              <w:bottom w:val="single" w:sz="4" w:space="0" w:color="000000"/>
              <w:right w:val="single" w:sz="4" w:space="0" w:color="000000"/>
            </w:tcBorders>
            <w:vAlign w:val="center"/>
          </w:tcPr>
          <w:p w14:paraId="68EDE272" w14:textId="46D22DDD" w:rsidR="00D3648E" w:rsidRPr="0038528C" w:rsidRDefault="00D3648E" w:rsidP="00D3648E">
            <w:pPr>
              <w:ind w:left="0"/>
              <w:rPr>
                <w:szCs w:val="24"/>
                <w:lang w:val="en"/>
              </w:rPr>
            </w:pPr>
            <w:r w:rsidRPr="002E0BAE">
              <w:rPr>
                <w:rFonts w:eastAsia="Calibri" w:cs="Calibri"/>
                <w:szCs w:val="24"/>
              </w:rPr>
              <w:t xml:space="preserve">Year 2 of Priority Improvement or Turnaround </w:t>
            </w:r>
          </w:p>
        </w:tc>
        <w:tc>
          <w:tcPr>
            <w:tcW w:w="1495" w:type="pct"/>
            <w:tcBorders>
              <w:top w:val="single" w:sz="4" w:space="0" w:color="000000"/>
              <w:left w:val="single" w:sz="4" w:space="0" w:color="000000"/>
              <w:bottom w:val="single" w:sz="4" w:space="0" w:color="000000"/>
              <w:right w:val="single" w:sz="4" w:space="0" w:color="000000"/>
            </w:tcBorders>
            <w:vAlign w:val="center"/>
          </w:tcPr>
          <w:p w14:paraId="09151971" w14:textId="083657B9" w:rsidR="00D3648E" w:rsidRPr="0038528C" w:rsidRDefault="00D3648E" w:rsidP="00D3648E">
            <w:pPr>
              <w:jc w:val="center"/>
              <w:rPr>
                <w:szCs w:val="24"/>
                <w:lang w:val="en"/>
              </w:rPr>
            </w:pPr>
            <w:r w:rsidRPr="002E0BAE">
              <w:rPr>
                <w:rFonts w:eastAsia="Calibri" w:cs="Calibri"/>
                <w:szCs w:val="24"/>
              </w:rPr>
              <w:t>5</w:t>
            </w:r>
          </w:p>
        </w:tc>
      </w:tr>
      <w:tr w:rsidR="00D3648E" w:rsidRPr="0038528C" w14:paraId="798FBB77" w14:textId="77777777" w:rsidTr="00D3648E">
        <w:tc>
          <w:tcPr>
            <w:tcW w:w="3505" w:type="pct"/>
            <w:tcBorders>
              <w:top w:val="single" w:sz="4" w:space="0" w:color="000000"/>
              <w:left w:val="single" w:sz="4" w:space="0" w:color="000000"/>
              <w:bottom w:val="single" w:sz="4" w:space="0" w:color="000000"/>
              <w:right w:val="single" w:sz="4" w:space="0" w:color="000000"/>
            </w:tcBorders>
            <w:vAlign w:val="center"/>
          </w:tcPr>
          <w:p w14:paraId="3716264B" w14:textId="27CFFEEB" w:rsidR="00D3648E" w:rsidRPr="0038528C" w:rsidRDefault="00D3648E" w:rsidP="00D3648E">
            <w:pPr>
              <w:ind w:left="0"/>
              <w:rPr>
                <w:szCs w:val="24"/>
                <w:lang w:val="en"/>
              </w:rPr>
            </w:pPr>
            <w:r w:rsidRPr="002E0BAE">
              <w:rPr>
                <w:rFonts w:eastAsia="Calibri" w:cs="Calibri"/>
                <w:szCs w:val="24"/>
              </w:rPr>
              <w:t>Year 1 of Priority Improvement or Turnaround</w:t>
            </w:r>
          </w:p>
        </w:tc>
        <w:tc>
          <w:tcPr>
            <w:tcW w:w="1495" w:type="pct"/>
            <w:tcBorders>
              <w:top w:val="single" w:sz="4" w:space="0" w:color="000000"/>
              <w:left w:val="single" w:sz="4" w:space="0" w:color="000000"/>
              <w:bottom w:val="single" w:sz="4" w:space="0" w:color="000000"/>
              <w:right w:val="single" w:sz="4" w:space="0" w:color="000000"/>
            </w:tcBorders>
            <w:vAlign w:val="center"/>
          </w:tcPr>
          <w:p w14:paraId="67C7DDAA" w14:textId="71734560" w:rsidR="00D3648E" w:rsidRPr="0038528C" w:rsidRDefault="00D3648E" w:rsidP="00D3648E">
            <w:pPr>
              <w:jc w:val="center"/>
              <w:rPr>
                <w:szCs w:val="24"/>
                <w:lang w:val="en"/>
              </w:rPr>
            </w:pPr>
            <w:r w:rsidRPr="002E0BAE">
              <w:rPr>
                <w:rFonts w:eastAsia="Calibri" w:cs="Calibri"/>
                <w:szCs w:val="24"/>
              </w:rPr>
              <w:t>4</w:t>
            </w:r>
          </w:p>
        </w:tc>
      </w:tr>
      <w:tr w:rsidR="00D3648E" w:rsidRPr="0038528C" w14:paraId="7544A5DE" w14:textId="77777777" w:rsidTr="00D3648E">
        <w:tc>
          <w:tcPr>
            <w:tcW w:w="3505" w:type="pct"/>
            <w:tcBorders>
              <w:top w:val="single" w:sz="4" w:space="0" w:color="000000"/>
              <w:left w:val="single" w:sz="4" w:space="0" w:color="000000"/>
              <w:bottom w:val="single" w:sz="4" w:space="0" w:color="000000"/>
              <w:right w:val="single" w:sz="4" w:space="0" w:color="000000"/>
            </w:tcBorders>
            <w:vAlign w:val="center"/>
          </w:tcPr>
          <w:p w14:paraId="1A17B5F9" w14:textId="6E396311" w:rsidR="00D3648E" w:rsidRPr="0038528C" w:rsidRDefault="00D3648E" w:rsidP="00D3648E">
            <w:pPr>
              <w:ind w:left="0"/>
              <w:rPr>
                <w:szCs w:val="24"/>
                <w:lang w:val="en"/>
              </w:rPr>
            </w:pPr>
            <w:r w:rsidRPr="002E0BAE">
              <w:rPr>
                <w:rFonts w:eastAsia="Calibri" w:cs="Calibri"/>
                <w:szCs w:val="24"/>
              </w:rPr>
              <w:t>Year 2 -3 On Watch (Performance/Improvement Year 2 or 3)</w:t>
            </w:r>
          </w:p>
        </w:tc>
        <w:tc>
          <w:tcPr>
            <w:tcW w:w="1495" w:type="pct"/>
            <w:tcBorders>
              <w:top w:val="single" w:sz="4" w:space="0" w:color="000000"/>
              <w:left w:val="single" w:sz="4" w:space="0" w:color="000000"/>
              <w:bottom w:val="single" w:sz="4" w:space="0" w:color="000000"/>
              <w:right w:val="single" w:sz="4" w:space="0" w:color="000000"/>
            </w:tcBorders>
            <w:vAlign w:val="center"/>
          </w:tcPr>
          <w:p w14:paraId="1AACE11C" w14:textId="2A9A724C" w:rsidR="00D3648E" w:rsidRPr="0038528C" w:rsidRDefault="00D3648E" w:rsidP="00D3648E">
            <w:pPr>
              <w:jc w:val="center"/>
              <w:rPr>
                <w:szCs w:val="24"/>
                <w:lang w:val="en"/>
              </w:rPr>
            </w:pPr>
            <w:r w:rsidRPr="002E0BAE">
              <w:rPr>
                <w:rFonts w:eastAsia="Calibri" w:cs="Calibri"/>
                <w:szCs w:val="24"/>
              </w:rPr>
              <w:t>3</w:t>
            </w:r>
          </w:p>
        </w:tc>
      </w:tr>
      <w:tr w:rsidR="00D3648E" w:rsidRPr="0038528C" w14:paraId="243C716F" w14:textId="77777777" w:rsidTr="00D3648E">
        <w:tc>
          <w:tcPr>
            <w:tcW w:w="3505" w:type="pct"/>
            <w:tcBorders>
              <w:top w:val="single" w:sz="4" w:space="0" w:color="000000"/>
              <w:left w:val="single" w:sz="4" w:space="0" w:color="000000"/>
              <w:bottom w:val="single" w:sz="4" w:space="0" w:color="000000"/>
              <w:right w:val="single" w:sz="4" w:space="0" w:color="000000"/>
            </w:tcBorders>
            <w:vAlign w:val="center"/>
          </w:tcPr>
          <w:p w14:paraId="659C266A" w14:textId="021F8F7A" w:rsidR="00D3648E" w:rsidRPr="0038528C" w:rsidRDefault="00D3648E" w:rsidP="00D3648E">
            <w:pPr>
              <w:ind w:left="0"/>
              <w:rPr>
                <w:szCs w:val="24"/>
                <w:lang w:val="en"/>
              </w:rPr>
            </w:pPr>
            <w:r w:rsidRPr="002E0BAE">
              <w:rPr>
                <w:rFonts w:eastAsia="Calibri" w:cs="Calibri"/>
                <w:szCs w:val="24"/>
              </w:rPr>
              <w:t>Insufficient state data on HOLD (Prior to ISD was Years 1+ on Performance Watch)</w:t>
            </w:r>
          </w:p>
        </w:tc>
        <w:tc>
          <w:tcPr>
            <w:tcW w:w="1495" w:type="pct"/>
            <w:tcBorders>
              <w:top w:val="single" w:sz="4" w:space="0" w:color="000000"/>
              <w:left w:val="single" w:sz="4" w:space="0" w:color="000000"/>
              <w:bottom w:val="single" w:sz="4" w:space="0" w:color="000000"/>
              <w:right w:val="single" w:sz="4" w:space="0" w:color="000000"/>
            </w:tcBorders>
            <w:vAlign w:val="center"/>
          </w:tcPr>
          <w:p w14:paraId="327A9896" w14:textId="0FCFE1D6" w:rsidR="00D3648E" w:rsidRPr="0038528C" w:rsidRDefault="00D3648E" w:rsidP="00D3648E">
            <w:pPr>
              <w:jc w:val="center"/>
              <w:rPr>
                <w:szCs w:val="24"/>
                <w:lang w:val="en"/>
              </w:rPr>
            </w:pPr>
            <w:r w:rsidRPr="002E0BAE">
              <w:rPr>
                <w:rFonts w:eastAsia="Calibri" w:cs="Calibri"/>
                <w:szCs w:val="24"/>
              </w:rPr>
              <w:t>2</w:t>
            </w:r>
          </w:p>
        </w:tc>
      </w:tr>
      <w:tr w:rsidR="00D3648E" w:rsidRPr="0038528C" w14:paraId="5F08E877" w14:textId="77777777" w:rsidTr="00D3648E">
        <w:tc>
          <w:tcPr>
            <w:tcW w:w="3505" w:type="pct"/>
            <w:tcBorders>
              <w:top w:val="single" w:sz="4" w:space="0" w:color="000000"/>
              <w:left w:val="single" w:sz="4" w:space="0" w:color="000000"/>
              <w:bottom w:val="single" w:sz="4" w:space="0" w:color="000000"/>
              <w:right w:val="single" w:sz="4" w:space="0" w:color="000000"/>
            </w:tcBorders>
            <w:vAlign w:val="center"/>
          </w:tcPr>
          <w:p w14:paraId="3DD878FB" w14:textId="35179028" w:rsidR="00D3648E" w:rsidRPr="0038528C" w:rsidRDefault="00D3648E" w:rsidP="00D3648E">
            <w:pPr>
              <w:ind w:left="0"/>
              <w:rPr>
                <w:szCs w:val="24"/>
                <w:lang w:val="en"/>
              </w:rPr>
            </w:pPr>
            <w:r w:rsidRPr="002E0BAE">
              <w:rPr>
                <w:rFonts w:eastAsia="Calibri" w:cs="Calibri"/>
                <w:szCs w:val="24"/>
              </w:rPr>
              <w:t>Year 1 of Priority Improvement or Turnaround- Due to Participation</w:t>
            </w:r>
          </w:p>
        </w:tc>
        <w:tc>
          <w:tcPr>
            <w:tcW w:w="1495" w:type="pct"/>
            <w:tcBorders>
              <w:top w:val="single" w:sz="4" w:space="0" w:color="000000"/>
              <w:left w:val="single" w:sz="4" w:space="0" w:color="000000"/>
              <w:bottom w:val="single" w:sz="4" w:space="0" w:color="000000"/>
              <w:right w:val="single" w:sz="4" w:space="0" w:color="000000"/>
            </w:tcBorders>
            <w:vAlign w:val="center"/>
          </w:tcPr>
          <w:p w14:paraId="34A5FDDD" w14:textId="64022EF6" w:rsidR="00D3648E" w:rsidRPr="0038528C" w:rsidRDefault="00D3648E" w:rsidP="00D3648E">
            <w:pPr>
              <w:jc w:val="center"/>
              <w:rPr>
                <w:szCs w:val="24"/>
                <w:lang w:val="en"/>
              </w:rPr>
            </w:pPr>
            <w:r w:rsidRPr="002E0BAE">
              <w:rPr>
                <w:rFonts w:eastAsia="Calibri" w:cs="Calibri"/>
                <w:szCs w:val="24"/>
              </w:rPr>
              <w:t>2</w:t>
            </w:r>
          </w:p>
        </w:tc>
      </w:tr>
    </w:tbl>
    <w:p w14:paraId="0F3DD1E7" w14:textId="26462FBA" w:rsidR="00FB5123" w:rsidRDefault="00FB5123" w:rsidP="00FB5123">
      <w:pPr>
        <w:pStyle w:val="Heading3"/>
      </w:pPr>
      <w:r>
        <w:t xml:space="preserve">Table 3- Bonus Point </w:t>
      </w:r>
    </w:p>
    <w:tbl>
      <w:tblPr>
        <w:tblW w:w="4574"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81"/>
        <w:gridCol w:w="3148"/>
      </w:tblGrid>
      <w:tr w:rsidR="00ED1E8A" w:rsidRPr="0038528C" w14:paraId="24D20C26" w14:textId="77777777" w:rsidTr="002B4328">
        <w:trPr>
          <w:tblHeader/>
        </w:trPr>
        <w:tc>
          <w:tcPr>
            <w:tcW w:w="3505"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58337365" w14:textId="194FD25E" w:rsidR="00ED1E8A" w:rsidRPr="0038528C" w:rsidRDefault="00ED1E8A" w:rsidP="000A23B0">
            <w:pPr>
              <w:ind w:left="0"/>
              <w:rPr>
                <w:b/>
                <w:szCs w:val="24"/>
                <w:lang w:val="en"/>
              </w:rPr>
            </w:pPr>
            <w:r w:rsidRPr="002E0BAE">
              <w:rPr>
                <w:b/>
                <w:szCs w:val="24"/>
                <w:lang w:val="en"/>
              </w:rPr>
              <w:t>Criteria</w:t>
            </w:r>
          </w:p>
        </w:tc>
        <w:tc>
          <w:tcPr>
            <w:tcW w:w="1495" w:type="pct"/>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48DEC255" w14:textId="77777777" w:rsidR="00ED1E8A" w:rsidRPr="0038528C" w:rsidRDefault="00ED1E8A" w:rsidP="006B4BE2">
            <w:pPr>
              <w:rPr>
                <w:b/>
                <w:szCs w:val="24"/>
                <w:lang w:val="en"/>
              </w:rPr>
            </w:pPr>
            <w:r w:rsidRPr="0038528C">
              <w:rPr>
                <w:b/>
                <w:szCs w:val="24"/>
                <w:lang w:val="en"/>
              </w:rPr>
              <w:t>Prioritization Points</w:t>
            </w:r>
          </w:p>
        </w:tc>
      </w:tr>
      <w:tr w:rsidR="00ED1E8A" w:rsidRPr="0038528C" w14:paraId="49D032D3" w14:textId="77777777" w:rsidTr="006B4BE2">
        <w:trPr>
          <w:trHeight w:val="238"/>
        </w:trPr>
        <w:tc>
          <w:tcPr>
            <w:tcW w:w="3505" w:type="pct"/>
            <w:tcBorders>
              <w:top w:val="single" w:sz="4" w:space="0" w:color="000000"/>
              <w:left w:val="single" w:sz="4" w:space="0" w:color="000000"/>
              <w:bottom w:val="single" w:sz="4" w:space="0" w:color="000000"/>
              <w:right w:val="single" w:sz="4" w:space="0" w:color="000000"/>
            </w:tcBorders>
            <w:vAlign w:val="center"/>
          </w:tcPr>
          <w:p w14:paraId="2928DC68" w14:textId="56EF1AE5" w:rsidR="00ED1E8A" w:rsidRPr="0038528C" w:rsidRDefault="002B4328" w:rsidP="006B4BE2">
            <w:pPr>
              <w:ind w:left="0"/>
              <w:rPr>
                <w:szCs w:val="24"/>
                <w:lang w:val="en"/>
              </w:rPr>
            </w:pPr>
            <w:r w:rsidRPr="002E0BAE">
              <w:rPr>
                <w:rFonts w:eastAsia="Calibri" w:cs="Calibri"/>
                <w:szCs w:val="24"/>
              </w:rPr>
              <w:t>School has both a Federal identification AND a State identification of Turnaround</w:t>
            </w:r>
            <w:r w:rsidR="005B619E">
              <w:rPr>
                <w:rFonts w:eastAsia="Calibri" w:cs="Calibri"/>
                <w:szCs w:val="24"/>
              </w:rPr>
              <w:t>, Priority Improvement, On Watch</w:t>
            </w:r>
            <w:r w:rsidR="00585043">
              <w:rPr>
                <w:rFonts w:eastAsia="Calibri" w:cs="Calibri"/>
                <w:szCs w:val="24"/>
              </w:rPr>
              <w:t>, or On Hold</w:t>
            </w:r>
            <w:r w:rsidR="005B619E">
              <w:rPr>
                <w:rFonts w:eastAsia="Calibri" w:cs="Calibri"/>
                <w:szCs w:val="24"/>
              </w:rPr>
              <w:t xml:space="preserve"> </w:t>
            </w:r>
            <w:r w:rsidRPr="002E0BAE">
              <w:rPr>
                <w:rFonts w:eastAsia="Calibri" w:cs="Calibri"/>
                <w:szCs w:val="24"/>
              </w:rPr>
              <w:t>(exception: LEAs that did not exit ATS or TS schools)</w:t>
            </w:r>
          </w:p>
        </w:tc>
        <w:tc>
          <w:tcPr>
            <w:tcW w:w="1495" w:type="pct"/>
            <w:tcBorders>
              <w:top w:val="single" w:sz="4" w:space="0" w:color="000000"/>
              <w:left w:val="single" w:sz="4" w:space="0" w:color="000000"/>
              <w:bottom w:val="single" w:sz="4" w:space="0" w:color="000000"/>
              <w:right w:val="single" w:sz="4" w:space="0" w:color="000000"/>
            </w:tcBorders>
            <w:vAlign w:val="center"/>
          </w:tcPr>
          <w:p w14:paraId="1F9C4A04" w14:textId="28D9A721" w:rsidR="00ED1E8A" w:rsidRPr="0038528C" w:rsidRDefault="002B4328" w:rsidP="006B4BE2">
            <w:pPr>
              <w:jc w:val="center"/>
              <w:rPr>
                <w:szCs w:val="24"/>
                <w:lang w:val="en"/>
              </w:rPr>
            </w:pPr>
            <w:r w:rsidRPr="002E0BAE">
              <w:rPr>
                <w:rFonts w:eastAsia="Calibri" w:cs="Calibri"/>
                <w:szCs w:val="24"/>
              </w:rPr>
              <w:t>1</w:t>
            </w:r>
          </w:p>
        </w:tc>
      </w:tr>
    </w:tbl>
    <w:p w14:paraId="7B89C579" w14:textId="6DE464EF" w:rsidR="00296415" w:rsidRDefault="000C62CE" w:rsidP="00296415">
      <w:pPr>
        <w:pStyle w:val="Heading2"/>
        <w:rPr>
          <w:rStyle w:val="URLChar"/>
          <w:color w:val="0F4761" w:themeColor="accent1" w:themeShade="BF"/>
          <w:sz w:val="32"/>
          <w:u w:val="none"/>
        </w:rPr>
      </w:pPr>
      <w:r w:rsidRPr="000C62CE">
        <w:rPr>
          <w:rStyle w:val="URLChar"/>
          <w:color w:val="0F4761" w:themeColor="accent1" w:themeShade="BF"/>
          <w:sz w:val="32"/>
          <w:u w:val="none"/>
        </w:rPr>
        <w:t>Additional Considerations</w:t>
      </w:r>
      <w:r w:rsidR="00BB0649">
        <w:rPr>
          <w:rStyle w:val="URLChar"/>
          <w:color w:val="0F4761" w:themeColor="accent1" w:themeShade="BF"/>
          <w:sz w:val="32"/>
          <w:u w:val="none"/>
        </w:rPr>
        <w:t xml:space="preserve"> in Funding Decisions</w:t>
      </w:r>
    </w:p>
    <w:p w14:paraId="397577A4" w14:textId="3378B450" w:rsidR="00296415" w:rsidRPr="00296415" w:rsidRDefault="00296415" w:rsidP="00296415">
      <w:r>
        <w:t xml:space="preserve">In addition to grant application scores and prioritization points, CDE review teams may </w:t>
      </w:r>
      <w:r w:rsidR="006A098A">
        <w:t>consider</w:t>
      </w:r>
      <w:r>
        <w:t xml:space="preserve"> the following in making funding decisions:</w:t>
      </w:r>
    </w:p>
    <w:p w14:paraId="238D2451" w14:textId="3BBD04CA" w:rsidR="00816A3C" w:rsidRPr="00816A3C" w:rsidRDefault="00816A3C" w:rsidP="0039746E">
      <w:pPr>
        <w:pStyle w:val="ListParagraph"/>
        <w:numPr>
          <w:ilvl w:val="0"/>
          <w:numId w:val="28"/>
        </w:numPr>
        <w:ind w:left="1080"/>
      </w:pPr>
      <w:r w:rsidRPr="00816A3C">
        <w:t>Current or projected future EASI cohort or EASI supplemental funding for 2025-26 or 2026-27, at either the school or district level, will be considered in funding decisions</w:t>
      </w:r>
    </w:p>
    <w:p w14:paraId="78B6F910" w14:textId="77777777" w:rsidR="00816A3C" w:rsidRPr="00816A3C" w:rsidRDefault="00816A3C" w:rsidP="0039746E">
      <w:pPr>
        <w:pStyle w:val="ListParagraph"/>
        <w:numPr>
          <w:ilvl w:val="0"/>
          <w:numId w:val="28"/>
        </w:numPr>
        <w:ind w:left="1080"/>
      </w:pPr>
      <w:r w:rsidRPr="00816A3C">
        <w:t>Availability of funding in specific fiscal years, eligibility for specific funding sources, and requested amounts (i.e. select EASI services with shorter durations or total request amounts may be able to fund lower prioritization point requests)</w:t>
      </w:r>
    </w:p>
    <w:p w14:paraId="1E7DC4A7" w14:textId="52F01D1F" w:rsidR="00816A3C" w:rsidRPr="00816A3C" w:rsidRDefault="00816A3C" w:rsidP="0039746E">
      <w:pPr>
        <w:pStyle w:val="ListParagraph"/>
        <w:numPr>
          <w:ilvl w:val="0"/>
          <w:numId w:val="28"/>
        </w:numPr>
        <w:ind w:left="1080"/>
      </w:pPr>
      <w:r w:rsidRPr="00816A3C">
        <w:t xml:space="preserve">In the event CDE receives more grant requests than available funding, CDE may also </w:t>
      </w:r>
      <w:r w:rsidR="006A098A" w:rsidRPr="00816A3C">
        <w:t>consider</w:t>
      </w:r>
      <w:r w:rsidRPr="00816A3C">
        <w:t xml:space="preserve"> the following factors </w:t>
      </w:r>
      <w:r w:rsidR="0015188B">
        <w:t xml:space="preserve">(listed in order of consideration) </w:t>
      </w:r>
      <w:r w:rsidRPr="00816A3C">
        <w:t xml:space="preserve">when determining which school will be </w:t>
      </w:r>
      <w:r w:rsidR="00CA021E">
        <w:t>funded</w:t>
      </w:r>
      <w:r w:rsidRPr="00816A3C">
        <w:t xml:space="preserve"> if the prioritization points are the same for the remaining </w:t>
      </w:r>
      <w:r w:rsidR="003134C1">
        <w:t>funding requests.</w:t>
      </w:r>
    </w:p>
    <w:p w14:paraId="59EDF0D7" w14:textId="77777777" w:rsidR="00816A3C" w:rsidRPr="00816A3C" w:rsidRDefault="00816A3C" w:rsidP="0039746E">
      <w:pPr>
        <w:pStyle w:val="ListParagraph"/>
        <w:numPr>
          <w:ilvl w:val="1"/>
          <w:numId w:val="29"/>
        </w:numPr>
        <w:ind w:left="1800"/>
      </w:pPr>
      <w:r w:rsidRPr="00816A3C">
        <w:t>School is classified as an alternative education campus</w:t>
      </w:r>
    </w:p>
    <w:p w14:paraId="183D4E76" w14:textId="77777777" w:rsidR="00816A3C" w:rsidRPr="00816A3C" w:rsidRDefault="00816A3C" w:rsidP="0039746E">
      <w:pPr>
        <w:pStyle w:val="ListParagraph"/>
        <w:numPr>
          <w:ilvl w:val="1"/>
          <w:numId w:val="29"/>
        </w:numPr>
        <w:ind w:left="1800"/>
      </w:pPr>
      <w:r w:rsidRPr="00816A3C">
        <w:lastRenderedPageBreak/>
        <w:t>School was declined an award in EASI Cohort 8 for a CDE directed service (i.e. Connect for Success, Transformation Network, AEC/Online Review, Language Learner Partnership) due to CDE service capacity and is reapplying for the same service in EASI Cohort 9</w:t>
      </w:r>
    </w:p>
    <w:p w14:paraId="02F7BCFE" w14:textId="77777777" w:rsidR="00816A3C" w:rsidRPr="00816A3C" w:rsidRDefault="00816A3C" w:rsidP="0039746E">
      <w:pPr>
        <w:pStyle w:val="ListParagraph"/>
        <w:numPr>
          <w:ilvl w:val="1"/>
          <w:numId w:val="29"/>
        </w:numPr>
        <w:ind w:left="1800"/>
      </w:pPr>
      <w:r w:rsidRPr="00816A3C">
        <w:t>Previous EASI grant awards reverted or remaining balances</w:t>
      </w:r>
    </w:p>
    <w:p w14:paraId="751A119F" w14:textId="77777777" w:rsidR="00816A3C" w:rsidRPr="00816A3C" w:rsidRDefault="00816A3C" w:rsidP="0039746E">
      <w:pPr>
        <w:pStyle w:val="ListParagraph"/>
        <w:numPr>
          <w:ilvl w:val="1"/>
          <w:numId w:val="29"/>
        </w:numPr>
        <w:ind w:left="1800"/>
      </w:pPr>
      <w:r w:rsidRPr="00816A3C">
        <w:t>Fulfillment of prior EASI grant or service requirements </w:t>
      </w:r>
    </w:p>
    <w:p w14:paraId="04800C2B" w14:textId="77777777" w:rsidR="001A38CC" w:rsidRPr="001A38CC" w:rsidRDefault="001A38CC" w:rsidP="001A38CC">
      <w:pPr>
        <w:pStyle w:val="Heading2"/>
        <w:rPr>
          <w:lang w:val="en"/>
        </w:rPr>
      </w:pPr>
      <w:r w:rsidRPr="001A38CC">
        <w:rPr>
          <w:lang w:val="en"/>
        </w:rPr>
        <w:t xml:space="preserve">District Prioritization </w:t>
      </w:r>
    </w:p>
    <w:p w14:paraId="3F5F6E97" w14:textId="78784DED" w:rsidR="001A38CC" w:rsidRPr="001A38CC" w:rsidRDefault="001A38CC" w:rsidP="001A38CC">
      <w:pPr>
        <w:rPr>
          <w:lang w:val="en"/>
        </w:rPr>
      </w:pPr>
      <w:r w:rsidRPr="001A38CC">
        <w:rPr>
          <w:lang w:val="en"/>
        </w:rPr>
        <w:t xml:space="preserve">There are several EASI routes that are awarded at the district, rather than the school level (Accountability Pathways, District Designed and Led, District Strategic Planning, and Facilitated Board Training). </w:t>
      </w:r>
      <w:r w:rsidR="001E0ACA" w:rsidRPr="001A38CC">
        <w:rPr>
          <w:lang w:val="en"/>
        </w:rPr>
        <w:t>Like</w:t>
      </w:r>
      <w:r w:rsidRPr="001A38CC">
        <w:rPr>
          <w:lang w:val="en"/>
        </w:rPr>
        <w:t xml:space="preserve"> </w:t>
      </w:r>
      <w:r>
        <w:rPr>
          <w:lang w:val="en"/>
        </w:rPr>
        <w:t xml:space="preserve">the </w:t>
      </w:r>
      <w:r w:rsidRPr="001A38CC">
        <w:rPr>
          <w:lang w:val="en"/>
        </w:rPr>
        <w:t xml:space="preserve">school level, districts eligible for Accountability Pathways funding will be considered first in the allocation of state funds. Other than Accountability Pathways, when evaluating district-level requests that are fundable, CDE will consider the prioritization scores of the schools that will be served by the supports. </w:t>
      </w:r>
    </w:p>
    <w:p w14:paraId="02D73383" w14:textId="3F75E965" w:rsidR="001A38CC" w:rsidRDefault="001A38CC" w:rsidP="001A38CC">
      <w:pPr>
        <w:rPr>
          <w:lang w:val="en"/>
        </w:rPr>
      </w:pPr>
      <w:r w:rsidRPr="001A38CC">
        <w:rPr>
          <w:lang w:val="en"/>
        </w:rPr>
        <w:t xml:space="preserve">Additionally, districts with a high concentration of identified schools in the district will be awarded one bonus point for </w:t>
      </w:r>
      <w:r w:rsidRPr="00D049CF">
        <w:rPr>
          <w:u w:val="single"/>
          <w:lang w:val="en"/>
        </w:rPr>
        <w:t>district-level</w:t>
      </w:r>
      <w:r w:rsidRPr="001A38CC">
        <w:rPr>
          <w:lang w:val="en"/>
        </w:rPr>
        <w:t xml:space="preserve"> EASI service requests. A district with a high concentration is one with a high percentage of schools that are either ESSA (Comprehensive Support, Targeted Support, or Additional Targeted Support) or state (Priority Improvement, Turnaround, or On Watch) identified based on the number of schools in a respective district. Districts are sorted into three bands based on the number of schools. The top quartile, based on the percentage of identified schools, in each band is considered a district with a high concentration of identified schools for purposes of prioritization in district-level EASI service requests. District-level supports that the bonus point may be added to </w:t>
      </w:r>
      <w:r w:rsidR="0015308F" w:rsidRPr="001A38CC">
        <w:rPr>
          <w:lang w:val="en"/>
        </w:rPr>
        <w:t>include</w:t>
      </w:r>
      <w:r w:rsidRPr="001A38CC">
        <w:rPr>
          <w:lang w:val="en"/>
        </w:rPr>
        <w:t xml:space="preserve"> District Strategic Planning, Language Learner Partnership (if serving at the district), District Designed &amp; Led (if serving multiple schools under a common improvement strategy</w:t>
      </w:r>
      <w:r w:rsidR="008C646A" w:rsidRPr="001A38CC">
        <w:rPr>
          <w:lang w:val="en"/>
        </w:rPr>
        <w:t>) or</w:t>
      </w:r>
      <w:r w:rsidRPr="001A38CC">
        <w:rPr>
          <w:lang w:val="en"/>
        </w:rPr>
        <w:t xml:space="preserve"> Facilitated Board Training for School Improvement. </w:t>
      </w:r>
    </w:p>
    <w:p w14:paraId="683E2A6E" w14:textId="4F2D5CA5" w:rsidR="002660E8" w:rsidRPr="00446844" w:rsidRDefault="00D12583" w:rsidP="002660E8">
      <w:pPr>
        <w:pStyle w:val="Heading2"/>
      </w:pPr>
      <w:r>
        <w:t>List of E</w:t>
      </w:r>
      <w:r w:rsidR="002660E8">
        <w:t>ligible Schools and Prioritization Points</w:t>
      </w:r>
    </w:p>
    <w:p w14:paraId="07435D47" w14:textId="77777777" w:rsidR="003A00EF" w:rsidRDefault="002660E8" w:rsidP="003A00EF">
      <w:pPr>
        <w:rPr>
          <w:rFonts w:eastAsia="Calibri" w:cs="Calibri"/>
        </w:rPr>
      </w:pPr>
      <w:r w:rsidRPr="3C8DB408">
        <w:rPr>
          <w:rFonts w:eastAsia="Calibri" w:cs="Calibri"/>
        </w:rPr>
        <w:t xml:space="preserve">A sortable Excel version of all Eligible Schools and Prioritization Points can be found on the </w:t>
      </w:r>
      <w:hyperlink r:id="rId9" w:history="1">
        <w:r w:rsidRPr="3C8DB408">
          <w:rPr>
            <w:rFonts w:eastAsia="Calibri" w:cs="Calibri"/>
            <w:u w:val="single"/>
          </w:rPr>
          <w:t>EASI website under Resources and Technical Assistance</w:t>
        </w:r>
      </w:hyperlink>
      <w:r w:rsidRPr="3C8DB408">
        <w:rPr>
          <w:rFonts w:eastAsia="Calibri" w:cs="Calibri"/>
        </w:rPr>
        <w:t>.</w:t>
      </w:r>
      <w:r w:rsidR="003A00EF">
        <w:rPr>
          <w:rFonts w:eastAsia="Calibri" w:cs="Calibri"/>
        </w:rPr>
        <w:t xml:space="preserve"> </w:t>
      </w:r>
      <w:r w:rsidR="003A00EF" w:rsidRPr="3C8DB408">
        <w:rPr>
          <w:rFonts w:eastAsia="Calibri" w:cs="Calibri"/>
        </w:rPr>
        <w:t>Please note that the list of schools and prioritization points may change following updates related to state and federal identifications (i.e. ESSA identification of K-2 schools and CDE’s Request to Reconsider process for state school and district identifications). Updates the eligibility and prioritization points for schools are updated as information becomes available on the website.</w:t>
      </w:r>
    </w:p>
    <w:p w14:paraId="217798E9" w14:textId="3E5E1B2D" w:rsidR="001A38CC" w:rsidRPr="00437E2D" w:rsidRDefault="001A38CC" w:rsidP="003A00EF">
      <w:pPr>
        <w:ind w:left="0"/>
        <w:rPr>
          <w:lang w:val="en"/>
        </w:rPr>
      </w:pPr>
    </w:p>
    <w:p w14:paraId="0CB00467" w14:textId="77777777" w:rsidR="000C62CE" w:rsidRPr="000C62CE" w:rsidRDefault="000C62CE" w:rsidP="000C62CE"/>
    <w:sectPr w:rsidR="000C62CE" w:rsidRPr="000C62CE" w:rsidSect="009B77DD">
      <w:headerReference w:type="default" r:id="rId10"/>
      <w:footerReference w:type="default" r:id="rId11"/>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FA03" w14:textId="77777777" w:rsidR="00AD32DC" w:rsidRDefault="00AD32DC" w:rsidP="00271BD6">
      <w:pPr>
        <w:spacing w:after="0"/>
      </w:pPr>
      <w:r>
        <w:separator/>
      </w:r>
    </w:p>
  </w:endnote>
  <w:endnote w:type="continuationSeparator" w:id="0">
    <w:p w14:paraId="5797F852" w14:textId="77777777" w:rsidR="00AD32DC" w:rsidRDefault="00AD32DC" w:rsidP="00271BD6">
      <w:pPr>
        <w:spacing w:after="0"/>
      </w:pPr>
      <w:r>
        <w:continuationSeparator/>
      </w:r>
    </w:p>
  </w:endnote>
  <w:endnote w:type="continuationNotice" w:id="1">
    <w:p w14:paraId="2EDF814A" w14:textId="77777777" w:rsidR="00AD32DC" w:rsidRDefault="00AD3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8458A" id="Straight Connector 2" o:spid="_x0000_s1026" alt="Program Contact&#10;Name&#10;Title &#10;Unit&#10;Phone&#10;UR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053D" w14:textId="77777777" w:rsidR="00AD32DC" w:rsidRDefault="00AD32DC" w:rsidP="00271BD6">
      <w:pPr>
        <w:spacing w:after="0"/>
      </w:pPr>
      <w:r>
        <w:separator/>
      </w:r>
    </w:p>
  </w:footnote>
  <w:footnote w:type="continuationSeparator" w:id="0">
    <w:p w14:paraId="18FE1872" w14:textId="77777777" w:rsidR="00AD32DC" w:rsidRDefault="00AD32DC" w:rsidP="00271BD6">
      <w:pPr>
        <w:spacing w:after="0"/>
      </w:pPr>
      <w:r>
        <w:continuationSeparator/>
      </w:r>
    </w:p>
  </w:footnote>
  <w:footnote w:type="continuationNotice" w:id="1">
    <w:p w14:paraId="01596BF3" w14:textId="77777777" w:rsidR="00AD32DC" w:rsidRDefault="00AD3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99F"/>
    <w:multiLevelType w:val="hybridMultilevel"/>
    <w:tmpl w:val="2BC6C7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3" w15:restartNumberingAfterBreak="0">
    <w:nsid w:val="21684BE7"/>
    <w:multiLevelType w:val="hybridMultilevel"/>
    <w:tmpl w:val="4648B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E15C49"/>
    <w:multiLevelType w:val="multilevel"/>
    <w:tmpl w:val="6CCC2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03589"/>
    <w:multiLevelType w:val="hybridMultilevel"/>
    <w:tmpl w:val="224E62F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33BC7F11"/>
    <w:multiLevelType w:val="multilevel"/>
    <w:tmpl w:val="076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B2D4441"/>
    <w:multiLevelType w:val="hybridMultilevel"/>
    <w:tmpl w:val="FA82DF4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17"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0"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056731F"/>
    <w:multiLevelType w:val="multilevel"/>
    <w:tmpl w:val="D8EEB8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2"/>
  </w:num>
  <w:num w:numId="2" w16cid:durableId="79181208">
    <w:abstractNumId w:val="12"/>
  </w:num>
  <w:num w:numId="3" w16cid:durableId="1824464553">
    <w:abstractNumId w:val="17"/>
  </w:num>
  <w:num w:numId="4" w16cid:durableId="1143422764">
    <w:abstractNumId w:val="9"/>
  </w:num>
  <w:num w:numId="5" w16cid:durableId="1143352235">
    <w:abstractNumId w:val="20"/>
  </w:num>
  <w:num w:numId="6" w16cid:durableId="594090659">
    <w:abstractNumId w:val="1"/>
  </w:num>
  <w:num w:numId="7" w16cid:durableId="1681077803">
    <w:abstractNumId w:val="13"/>
  </w:num>
  <w:num w:numId="8" w16cid:durableId="824278731">
    <w:abstractNumId w:val="24"/>
  </w:num>
  <w:num w:numId="9" w16cid:durableId="1234313799">
    <w:abstractNumId w:val="8"/>
  </w:num>
  <w:num w:numId="10" w16cid:durableId="790441336">
    <w:abstractNumId w:val="16"/>
  </w:num>
  <w:num w:numId="11" w16cid:durableId="709956776">
    <w:abstractNumId w:val="4"/>
  </w:num>
  <w:num w:numId="12" w16cid:durableId="454249301">
    <w:abstractNumId w:val="19"/>
  </w:num>
  <w:num w:numId="13" w16cid:durableId="2009022099">
    <w:abstractNumId w:val="11"/>
  </w:num>
  <w:num w:numId="14" w16cid:durableId="1842693230">
    <w:abstractNumId w:val="22"/>
  </w:num>
  <w:num w:numId="15" w16cid:durableId="667757076">
    <w:abstractNumId w:val="23"/>
  </w:num>
  <w:num w:numId="16" w16cid:durableId="1579708068">
    <w:abstractNumId w:val="15"/>
  </w:num>
  <w:num w:numId="17" w16cid:durableId="262227811">
    <w:abstractNumId w:val="14"/>
  </w:num>
  <w:num w:numId="18" w16cid:durableId="1237321533">
    <w:abstractNumId w:val="18"/>
  </w:num>
  <w:num w:numId="19" w16cid:durableId="932204110">
    <w:abstractNumId w:val="21"/>
  </w:num>
  <w:num w:numId="20" w16cid:durableId="1796095783">
    <w:abstractNumId w:val="0"/>
  </w:num>
  <w:num w:numId="21" w16cid:durableId="1302612340">
    <w:abstractNumId w:val="5"/>
  </w:num>
  <w:num w:numId="22" w16cid:durableId="1308315145">
    <w:abstractNumId w:val="5"/>
    <w:lvlOverride w:ilvl="1">
      <w:lvl w:ilvl="1">
        <w:numFmt w:val="lowerLetter"/>
        <w:lvlText w:val="%2."/>
        <w:lvlJc w:val="left"/>
      </w:lvl>
    </w:lvlOverride>
  </w:num>
  <w:num w:numId="23" w16cid:durableId="1796411720">
    <w:abstractNumId w:val="5"/>
    <w:lvlOverride w:ilvl="1">
      <w:lvl w:ilvl="1">
        <w:numFmt w:val="lowerLetter"/>
        <w:lvlText w:val="%2."/>
        <w:lvlJc w:val="left"/>
      </w:lvl>
    </w:lvlOverride>
  </w:num>
  <w:num w:numId="24" w16cid:durableId="1155607769">
    <w:abstractNumId w:val="5"/>
    <w:lvlOverride w:ilvl="1">
      <w:lvl w:ilvl="1">
        <w:numFmt w:val="lowerLetter"/>
        <w:lvlText w:val="%2."/>
        <w:lvlJc w:val="left"/>
      </w:lvl>
    </w:lvlOverride>
  </w:num>
  <w:num w:numId="25" w16cid:durableId="964890153">
    <w:abstractNumId w:val="5"/>
    <w:lvlOverride w:ilvl="1">
      <w:lvl w:ilvl="1">
        <w:numFmt w:val="lowerLetter"/>
        <w:lvlText w:val="%2."/>
        <w:lvlJc w:val="left"/>
      </w:lvl>
    </w:lvlOverride>
  </w:num>
  <w:num w:numId="26" w16cid:durableId="876940146">
    <w:abstractNumId w:val="7"/>
  </w:num>
  <w:num w:numId="27" w16cid:durableId="1003781009">
    <w:abstractNumId w:val="6"/>
  </w:num>
  <w:num w:numId="28" w16cid:durableId="723942415">
    <w:abstractNumId w:val="3"/>
  </w:num>
  <w:num w:numId="29" w16cid:durableId="1001661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67FE2"/>
    <w:rsid w:val="000701E7"/>
    <w:rsid w:val="000716AA"/>
    <w:rsid w:val="000803B8"/>
    <w:rsid w:val="0008196B"/>
    <w:rsid w:val="00087158"/>
    <w:rsid w:val="00090426"/>
    <w:rsid w:val="00096FF1"/>
    <w:rsid w:val="000A23B0"/>
    <w:rsid w:val="000C62CE"/>
    <w:rsid w:val="000D3435"/>
    <w:rsid w:val="000E2D85"/>
    <w:rsid w:val="000F0D43"/>
    <w:rsid w:val="00102301"/>
    <w:rsid w:val="001156C3"/>
    <w:rsid w:val="00126AD2"/>
    <w:rsid w:val="0015188B"/>
    <w:rsid w:val="0015308F"/>
    <w:rsid w:val="00155A5C"/>
    <w:rsid w:val="00194D04"/>
    <w:rsid w:val="00196811"/>
    <w:rsid w:val="001A1389"/>
    <w:rsid w:val="001A38CC"/>
    <w:rsid w:val="001D7FC5"/>
    <w:rsid w:val="001E0ACA"/>
    <w:rsid w:val="001F0626"/>
    <w:rsid w:val="002070A9"/>
    <w:rsid w:val="00210D2E"/>
    <w:rsid w:val="00220348"/>
    <w:rsid w:val="0023725A"/>
    <w:rsid w:val="00241458"/>
    <w:rsid w:val="00257995"/>
    <w:rsid w:val="002660E8"/>
    <w:rsid w:val="00270918"/>
    <w:rsid w:val="00271BD6"/>
    <w:rsid w:val="00277E50"/>
    <w:rsid w:val="002866C2"/>
    <w:rsid w:val="002933D8"/>
    <w:rsid w:val="00296415"/>
    <w:rsid w:val="002B28E3"/>
    <w:rsid w:val="002B4328"/>
    <w:rsid w:val="002B44CF"/>
    <w:rsid w:val="002B6436"/>
    <w:rsid w:val="002E0BAE"/>
    <w:rsid w:val="002E41BC"/>
    <w:rsid w:val="003134C1"/>
    <w:rsid w:val="0034071F"/>
    <w:rsid w:val="00342357"/>
    <w:rsid w:val="00347913"/>
    <w:rsid w:val="00347FC5"/>
    <w:rsid w:val="00350B15"/>
    <w:rsid w:val="00357A40"/>
    <w:rsid w:val="00382550"/>
    <w:rsid w:val="0038528C"/>
    <w:rsid w:val="00385B40"/>
    <w:rsid w:val="0039746E"/>
    <w:rsid w:val="003A00EF"/>
    <w:rsid w:val="003A1E43"/>
    <w:rsid w:val="003C1EE2"/>
    <w:rsid w:val="003C1FD2"/>
    <w:rsid w:val="003D6325"/>
    <w:rsid w:val="003E56D1"/>
    <w:rsid w:val="003E7A47"/>
    <w:rsid w:val="003F06E3"/>
    <w:rsid w:val="003F4054"/>
    <w:rsid w:val="0041756A"/>
    <w:rsid w:val="0042101B"/>
    <w:rsid w:val="004223A7"/>
    <w:rsid w:val="00437E2D"/>
    <w:rsid w:val="00470DF3"/>
    <w:rsid w:val="004B0D8D"/>
    <w:rsid w:val="004B2802"/>
    <w:rsid w:val="004C159C"/>
    <w:rsid w:val="004C1D0E"/>
    <w:rsid w:val="004C5F19"/>
    <w:rsid w:val="004C6457"/>
    <w:rsid w:val="004E0E70"/>
    <w:rsid w:val="004F0247"/>
    <w:rsid w:val="004F056A"/>
    <w:rsid w:val="004F3890"/>
    <w:rsid w:val="004F76BE"/>
    <w:rsid w:val="0050764C"/>
    <w:rsid w:val="00514BE5"/>
    <w:rsid w:val="00521466"/>
    <w:rsid w:val="0053152C"/>
    <w:rsid w:val="005333DF"/>
    <w:rsid w:val="005338B2"/>
    <w:rsid w:val="00551CE3"/>
    <w:rsid w:val="00561EC6"/>
    <w:rsid w:val="005626BD"/>
    <w:rsid w:val="0056571F"/>
    <w:rsid w:val="00585043"/>
    <w:rsid w:val="005B17AA"/>
    <w:rsid w:val="005B619E"/>
    <w:rsid w:val="005C2CA4"/>
    <w:rsid w:val="005D20D0"/>
    <w:rsid w:val="005D4857"/>
    <w:rsid w:val="005D69FA"/>
    <w:rsid w:val="0060667E"/>
    <w:rsid w:val="0061395A"/>
    <w:rsid w:val="006169AA"/>
    <w:rsid w:val="006310E4"/>
    <w:rsid w:val="00635127"/>
    <w:rsid w:val="00643235"/>
    <w:rsid w:val="0065359D"/>
    <w:rsid w:val="00655771"/>
    <w:rsid w:val="0066783F"/>
    <w:rsid w:val="00671555"/>
    <w:rsid w:val="00672122"/>
    <w:rsid w:val="006734C2"/>
    <w:rsid w:val="00682C1D"/>
    <w:rsid w:val="00684EA7"/>
    <w:rsid w:val="006854CB"/>
    <w:rsid w:val="00687901"/>
    <w:rsid w:val="006A098A"/>
    <w:rsid w:val="006C5F81"/>
    <w:rsid w:val="006D1089"/>
    <w:rsid w:val="006D21AD"/>
    <w:rsid w:val="00710066"/>
    <w:rsid w:val="0071689B"/>
    <w:rsid w:val="0073194E"/>
    <w:rsid w:val="00742881"/>
    <w:rsid w:val="007470F3"/>
    <w:rsid w:val="00750B73"/>
    <w:rsid w:val="007532EB"/>
    <w:rsid w:val="007818E3"/>
    <w:rsid w:val="007A0C15"/>
    <w:rsid w:val="007A0E39"/>
    <w:rsid w:val="007B0ECA"/>
    <w:rsid w:val="007B13B1"/>
    <w:rsid w:val="007C4375"/>
    <w:rsid w:val="007D29B7"/>
    <w:rsid w:val="007D6A9F"/>
    <w:rsid w:val="007E50A4"/>
    <w:rsid w:val="007F2B86"/>
    <w:rsid w:val="00800BC4"/>
    <w:rsid w:val="00816A3C"/>
    <w:rsid w:val="00821BAC"/>
    <w:rsid w:val="008226BB"/>
    <w:rsid w:val="00843FD2"/>
    <w:rsid w:val="00846376"/>
    <w:rsid w:val="00866828"/>
    <w:rsid w:val="00872858"/>
    <w:rsid w:val="008824E9"/>
    <w:rsid w:val="0089365E"/>
    <w:rsid w:val="0089532C"/>
    <w:rsid w:val="00897925"/>
    <w:rsid w:val="008C646A"/>
    <w:rsid w:val="008F0ECB"/>
    <w:rsid w:val="00900DA2"/>
    <w:rsid w:val="00902C96"/>
    <w:rsid w:val="0093149F"/>
    <w:rsid w:val="00950199"/>
    <w:rsid w:val="0096073B"/>
    <w:rsid w:val="009646A5"/>
    <w:rsid w:val="009678EE"/>
    <w:rsid w:val="0098050D"/>
    <w:rsid w:val="00992993"/>
    <w:rsid w:val="009936E4"/>
    <w:rsid w:val="009A6020"/>
    <w:rsid w:val="009B397E"/>
    <w:rsid w:val="009B77DD"/>
    <w:rsid w:val="009F2B8F"/>
    <w:rsid w:val="009F42B7"/>
    <w:rsid w:val="00A127BE"/>
    <w:rsid w:val="00A16654"/>
    <w:rsid w:val="00A61C63"/>
    <w:rsid w:val="00A67EEC"/>
    <w:rsid w:val="00A76F4B"/>
    <w:rsid w:val="00A86075"/>
    <w:rsid w:val="00AC14E3"/>
    <w:rsid w:val="00AC394D"/>
    <w:rsid w:val="00AD32DC"/>
    <w:rsid w:val="00AD7D2D"/>
    <w:rsid w:val="00AE0687"/>
    <w:rsid w:val="00AE0A1F"/>
    <w:rsid w:val="00B12BEB"/>
    <w:rsid w:val="00B27BA9"/>
    <w:rsid w:val="00B30393"/>
    <w:rsid w:val="00B41F6C"/>
    <w:rsid w:val="00B50522"/>
    <w:rsid w:val="00B54819"/>
    <w:rsid w:val="00B94454"/>
    <w:rsid w:val="00BA015A"/>
    <w:rsid w:val="00BB0649"/>
    <w:rsid w:val="00BB53A5"/>
    <w:rsid w:val="00BD428E"/>
    <w:rsid w:val="00BD613C"/>
    <w:rsid w:val="00BE07FE"/>
    <w:rsid w:val="00BE35A2"/>
    <w:rsid w:val="00BF6FA0"/>
    <w:rsid w:val="00BF7E68"/>
    <w:rsid w:val="00C05CDD"/>
    <w:rsid w:val="00C23DC3"/>
    <w:rsid w:val="00C24C37"/>
    <w:rsid w:val="00C444F7"/>
    <w:rsid w:val="00C60781"/>
    <w:rsid w:val="00CA021E"/>
    <w:rsid w:val="00CB3A1C"/>
    <w:rsid w:val="00CB6CCC"/>
    <w:rsid w:val="00CC446C"/>
    <w:rsid w:val="00CC6156"/>
    <w:rsid w:val="00CC7A7D"/>
    <w:rsid w:val="00CD6299"/>
    <w:rsid w:val="00CE0A48"/>
    <w:rsid w:val="00CE1700"/>
    <w:rsid w:val="00CF044C"/>
    <w:rsid w:val="00D01ABF"/>
    <w:rsid w:val="00D01ED0"/>
    <w:rsid w:val="00D049CF"/>
    <w:rsid w:val="00D12583"/>
    <w:rsid w:val="00D24BA9"/>
    <w:rsid w:val="00D353F6"/>
    <w:rsid w:val="00D3648E"/>
    <w:rsid w:val="00D73E2E"/>
    <w:rsid w:val="00D840DD"/>
    <w:rsid w:val="00DA7B02"/>
    <w:rsid w:val="00DB371F"/>
    <w:rsid w:val="00DB4B43"/>
    <w:rsid w:val="00DB51BD"/>
    <w:rsid w:val="00DC4626"/>
    <w:rsid w:val="00DD0F67"/>
    <w:rsid w:val="00E04186"/>
    <w:rsid w:val="00E12700"/>
    <w:rsid w:val="00E37281"/>
    <w:rsid w:val="00E4109F"/>
    <w:rsid w:val="00E607BF"/>
    <w:rsid w:val="00E77A91"/>
    <w:rsid w:val="00E80FB1"/>
    <w:rsid w:val="00EA26C3"/>
    <w:rsid w:val="00EB76B0"/>
    <w:rsid w:val="00ED1E8A"/>
    <w:rsid w:val="00ED2A70"/>
    <w:rsid w:val="00EF14BD"/>
    <w:rsid w:val="00EF67A8"/>
    <w:rsid w:val="00F0433C"/>
    <w:rsid w:val="00F058D0"/>
    <w:rsid w:val="00F07C39"/>
    <w:rsid w:val="00F44BE1"/>
    <w:rsid w:val="00F4632A"/>
    <w:rsid w:val="00F56CAF"/>
    <w:rsid w:val="00F62302"/>
    <w:rsid w:val="00F879C3"/>
    <w:rsid w:val="00F9372C"/>
    <w:rsid w:val="00FB5123"/>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8A"/>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fedprograms/easiappresourcesandtechnicalassist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e.state.co.us/fedprograms/easiappresourcesandtechn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95</cp:revision>
  <dcterms:created xsi:type="dcterms:W3CDTF">2025-06-10T16:14:00Z</dcterms:created>
  <dcterms:modified xsi:type="dcterms:W3CDTF">2025-09-23T18:23:00Z</dcterms:modified>
</cp:coreProperties>
</file>