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7B" w:rsidRDefault="00120E7B" w:rsidP="00120E7B">
      <w:pPr>
        <w:pStyle w:val="Heading1"/>
        <w:spacing w:before="0" w:after="0"/>
      </w:pPr>
      <w:bookmarkStart w:id="0" w:name="_Toc495394417"/>
      <w:r>
        <w:t>Program Assurances</w:t>
      </w:r>
      <w:bookmarkEnd w:id="0"/>
    </w:p>
    <w:p w:rsidR="00120E7B" w:rsidRPr="00441C7B" w:rsidRDefault="00120E7B" w:rsidP="00120E7B">
      <w:pPr>
        <w:rPr>
          <w:kern w:val="2"/>
        </w:rPr>
      </w:pPr>
      <w:r w:rsidRPr="00441C7B">
        <w:rPr>
          <w:kern w:val="2"/>
        </w:rPr>
        <w:t>The appropriate Authorized Representatives must sign below to indicate their</w:t>
      </w:r>
      <w:r>
        <w:rPr>
          <w:kern w:val="2"/>
        </w:rPr>
        <w:t xml:space="preserve"> approval of the contents of the </w:t>
      </w:r>
      <w:r w:rsidRPr="00441C7B">
        <w:rPr>
          <w:kern w:val="2"/>
        </w:rPr>
        <w:t>application</w:t>
      </w:r>
      <w:r>
        <w:rPr>
          <w:kern w:val="2"/>
        </w:rPr>
        <w:t xml:space="preserve"> for the </w:t>
      </w:r>
      <w:r>
        <w:rPr>
          <w:b/>
          <w:kern w:val="2"/>
        </w:rPr>
        <w:t>ESSA Application for School Improvement</w:t>
      </w:r>
      <w:r w:rsidRPr="00441C7B">
        <w:rPr>
          <w:kern w:val="2"/>
        </w:rPr>
        <w:t>, and the receipt of program funds.</w:t>
      </w:r>
    </w:p>
    <w:p w:rsidR="00120E7B" w:rsidRPr="00441C7B" w:rsidRDefault="00120E7B" w:rsidP="00120E7B">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057"/>
        <w:gridCol w:w="2056"/>
        <w:gridCol w:w="3870"/>
      </w:tblGrid>
      <w:tr w:rsidR="00120E7B" w:rsidRPr="00D565E9" w:rsidTr="00DB3342">
        <w:tc>
          <w:tcPr>
            <w:tcW w:w="377" w:type="dxa"/>
          </w:tcPr>
          <w:p w:rsidR="00120E7B" w:rsidRPr="00D565E9" w:rsidRDefault="00120E7B" w:rsidP="000B18A3">
            <w:pPr>
              <w:rPr>
                <w:color w:val="auto"/>
                <w:kern w:val="2"/>
              </w:rPr>
            </w:pPr>
            <w:r w:rsidRPr="00D565E9">
              <w:rPr>
                <w:color w:val="auto"/>
                <w:kern w:val="2"/>
              </w:rPr>
              <w:t>On</w:t>
            </w:r>
          </w:p>
        </w:tc>
        <w:tc>
          <w:tcPr>
            <w:tcW w:w="3057" w:type="dxa"/>
            <w:tcBorders>
              <w:bottom w:val="single" w:sz="4" w:space="0" w:color="000000" w:themeColor="text1"/>
            </w:tcBorders>
          </w:tcPr>
          <w:p w:rsidR="00120E7B" w:rsidRPr="00D565E9" w:rsidRDefault="00120E7B" w:rsidP="000B18A3">
            <w:pPr>
              <w:tabs>
                <w:tab w:val="left" w:pos="2190"/>
              </w:tabs>
              <w:jc w:val="center"/>
              <w:rPr>
                <w:color w:val="auto"/>
                <w:kern w:val="2"/>
              </w:rPr>
            </w:pPr>
            <w:r w:rsidRPr="00D565E9">
              <w:rPr>
                <w:color w:val="auto"/>
                <w:kern w:val="2"/>
              </w:rPr>
              <w:t>(date)</w:t>
            </w:r>
          </w:p>
        </w:tc>
        <w:tc>
          <w:tcPr>
            <w:tcW w:w="2056" w:type="dxa"/>
          </w:tcPr>
          <w:p w:rsidR="00120E7B" w:rsidRPr="00D565E9" w:rsidRDefault="00120E7B" w:rsidP="000B18A3">
            <w:pPr>
              <w:rPr>
                <w:color w:val="auto"/>
                <w:kern w:val="2"/>
              </w:rPr>
            </w:pPr>
            <w:r w:rsidRPr="00D565E9">
              <w:rPr>
                <w:color w:val="auto"/>
                <w:kern w:val="2"/>
              </w:rPr>
              <w:t>, 2017, the Board of</w:t>
            </w:r>
          </w:p>
        </w:tc>
        <w:tc>
          <w:tcPr>
            <w:tcW w:w="3870" w:type="dxa"/>
            <w:tcBorders>
              <w:bottom w:val="single" w:sz="4" w:space="0" w:color="000000" w:themeColor="text1"/>
            </w:tcBorders>
          </w:tcPr>
          <w:p w:rsidR="00120E7B" w:rsidRPr="00D565E9" w:rsidRDefault="00120E7B" w:rsidP="000B18A3">
            <w:pPr>
              <w:tabs>
                <w:tab w:val="left" w:pos="1650"/>
              </w:tabs>
              <w:jc w:val="center"/>
              <w:rPr>
                <w:color w:val="auto"/>
                <w:kern w:val="2"/>
              </w:rPr>
            </w:pPr>
            <w:r w:rsidRPr="00D565E9">
              <w:rPr>
                <w:color w:val="auto"/>
                <w:kern w:val="2"/>
              </w:rPr>
              <w:t>(district)</w:t>
            </w:r>
          </w:p>
        </w:tc>
      </w:tr>
    </w:tbl>
    <w:p w:rsidR="00120E7B" w:rsidRPr="00D565E9" w:rsidRDefault="00120E7B" w:rsidP="00120E7B">
      <w:pPr>
        <w:numPr>
          <w:ilvl w:val="12"/>
          <w:numId w:val="0"/>
        </w:numPr>
        <w:tabs>
          <w:tab w:val="left" w:pos="-720"/>
        </w:tabs>
        <w:suppressAutoHyphens/>
        <w:rPr>
          <w:rFonts w:ascii="Calibri" w:hAnsi="Calibri" w:cs="Arial"/>
          <w:color w:val="auto"/>
        </w:rPr>
      </w:pPr>
      <w:r w:rsidRPr="00D565E9">
        <w:rPr>
          <w:rFonts w:ascii="Calibri" w:hAnsi="Calibri" w:cs="Arial"/>
          <w:color w:val="auto"/>
        </w:rPr>
        <w:t>hereby applies for and, if awarded, accepts the Every Student Succeeds Act (ESSA), Title I, Section 1003 school improvement funds requested in this application.</w:t>
      </w:r>
    </w:p>
    <w:p w:rsidR="00120E7B" w:rsidRPr="00D565E9" w:rsidRDefault="00120E7B" w:rsidP="00120E7B">
      <w:pPr>
        <w:numPr>
          <w:ilvl w:val="12"/>
          <w:numId w:val="0"/>
        </w:numPr>
        <w:tabs>
          <w:tab w:val="left" w:pos="-720"/>
        </w:tabs>
        <w:suppressAutoHyphens/>
        <w:rPr>
          <w:rFonts w:ascii="Calibri" w:hAnsi="Calibri" w:cs="Arial"/>
          <w:color w:val="auto"/>
        </w:rPr>
      </w:pPr>
      <w:r w:rsidRPr="00D565E9">
        <w:rPr>
          <w:rFonts w:ascii="Calibri" w:hAnsi="Calibri" w:cs="Arial"/>
          <w:color w:val="auto"/>
        </w:rPr>
        <w:t>LEAs that accept 1003(g) School Improvement services and/or funding agree to the following:</w:t>
      </w:r>
    </w:p>
    <w:p w:rsidR="00120E7B" w:rsidRPr="00D565E9" w:rsidRDefault="00120E7B" w:rsidP="00120E7B">
      <w:pPr>
        <w:numPr>
          <w:ilvl w:val="12"/>
          <w:numId w:val="0"/>
        </w:numPr>
        <w:tabs>
          <w:tab w:val="left" w:pos="-720"/>
        </w:tabs>
        <w:suppressAutoHyphens/>
        <w:rPr>
          <w:rFonts w:ascii="Calibri" w:hAnsi="Calibri" w:cs="Arial"/>
          <w:color w:val="auto"/>
        </w:rPr>
      </w:pPr>
      <w:bookmarkStart w:id="1" w:name="_GoBack"/>
      <w:bookmarkEnd w:id="1"/>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sidRPr="00D565E9">
        <w:rPr>
          <w:rFonts w:ascii="Calibri" w:hAnsi="Calibri" w:cs="Arial"/>
          <w:color w:val="auto"/>
          <w:kern w:val="2"/>
        </w:rPr>
        <w:t>The LEA will provide the Colorado Department of Education (CDE) the evaluation information required for each applicable program selected.</w:t>
      </w:r>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sidRPr="00D565E9">
        <w:rPr>
          <w:rFonts w:ascii="Calibri" w:hAnsi="Calibri" w:cs="Arial"/>
          <w:color w:val="auto"/>
          <w:kern w:val="2"/>
        </w:rPr>
        <w:t>The LEA will work with and provide requested data to CDE for this grant within the timeframes specified.</w:t>
      </w:r>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Pr>
          <w:color w:val="auto"/>
        </w:rPr>
        <w:t xml:space="preserve">The LEA will include relevant internal and external program stakeholders (e.g., LEA Title I coordinator, participating school principal).  </w:t>
      </w:r>
    </w:p>
    <w:p w:rsidR="00120E7B" w:rsidRPr="00AE31B2" w:rsidRDefault="00120E7B" w:rsidP="00120E7B">
      <w:pPr>
        <w:pStyle w:val="ListParagraph"/>
        <w:numPr>
          <w:ilvl w:val="0"/>
          <w:numId w:val="1"/>
        </w:numPr>
        <w:tabs>
          <w:tab w:val="left" w:pos="-720"/>
        </w:tabs>
        <w:suppressAutoHyphens/>
        <w:rPr>
          <w:rFonts w:ascii="Calibri" w:hAnsi="Calibri" w:cs="Arial"/>
          <w:color w:val="auto"/>
          <w:kern w:val="2"/>
        </w:rPr>
      </w:pPr>
      <w:r w:rsidRPr="00D565E9">
        <w:rPr>
          <w:color w:val="auto"/>
        </w:rPr>
        <w:t>The LEA agrees to involve stakeholders in a meaningful and relevant way in the development and implementation of the proposed activities. The LEA will keep records of meetings, outreach efforts and engagement activities.</w:t>
      </w:r>
    </w:p>
    <w:p w:rsidR="00120E7B" w:rsidRPr="00D565E9" w:rsidRDefault="00120E7B" w:rsidP="00120E7B">
      <w:pPr>
        <w:numPr>
          <w:ilvl w:val="0"/>
          <w:numId w:val="2"/>
        </w:numPr>
        <w:contextualSpacing w:val="0"/>
        <w:rPr>
          <w:color w:val="auto"/>
          <w:kern w:val="2"/>
        </w:rPr>
      </w:pPr>
      <w:r w:rsidRPr="00D565E9">
        <w:rPr>
          <w:rFonts w:ascii="Calibri" w:hAnsi="Calibri" w:cs="Arial"/>
          <w:color w:val="auto"/>
          <w:kern w:val="2"/>
        </w:rPr>
        <w:t xml:space="preserve">The LEA </w:t>
      </w:r>
      <w:r w:rsidRPr="00D565E9">
        <w:rPr>
          <w:color w:val="auto"/>
          <w:kern w:val="2"/>
        </w:rPr>
        <w:t xml:space="preserve">will use funds to </w:t>
      </w:r>
      <w:r w:rsidRPr="00D565E9">
        <w:rPr>
          <w:bCs/>
          <w:color w:val="auto"/>
          <w:kern w:val="2"/>
        </w:rPr>
        <w:t>supplement and not supplant</w:t>
      </w:r>
      <w:r w:rsidRPr="00D565E9">
        <w:rPr>
          <w:color w:val="auto"/>
          <w:kern w:val="2"/>
        </w:rPr>
        <w:t xml:space="preserve"> any state and federal funds.</w:t>
      </w:r>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sidRPr="00D565E9">
        <w:rPr>
          <w:rFonts w:ascii="Calibri" w:hAnsi="Calibri" w:cs="Arial"/>
          <w:color w:val="auto"/>
          <w:kern w:val="2"/>
        </w:rPr>
        <w:t>The LEA will not discriminate against anyone regarding race, gender, national origin, color, disability, or age.</w:t>
      </w:r>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Pr>
          <w:rFonts w:ascii="Calibri" w:hAnsi="Calibri" w:cs="Arial"/>
          <w:color w:val="auto"/>
          <w:kern w:val="2"/>
        </w:rPr>
        <w:t>F</w:t>
      </w:r>
      <w:r w:rsidRPr="00D565E9">
        <w:rPr>
          <w:rFonts w:ascii="Calibri" w:hAnsi="Calibri" w:cs="Arial"/>
          <w:color w:val="auto"/>
          <w:kern w:val="2"/>
        </w:rPr>
        <w:t>unded projects will maintain appropriate fiscal and program records and that fiscal audits of this program will be conducted by the grantees as a part of their regular audits.</w:t>
      </w:r>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Pr>
          <w:rFonts w:ascii="Calibri" w:hAnsi="Calibri" w:cs="Arial"/>
          <w:color w:val="auto"/>
          <w:kern w:val="2"/>
        </w:rPr>
        <w:t>I</w:t>
      </w:r>
      <w:r w:rsidRPr="00D565E9">
        <w:rPr>
          <w:rFonts w:ascii="Calibri" w:hAnsi="Calibri" w:cs="Arial"/>
          <w:color w:val="auto"/>
          <w:kern w:val="2"/>
        </w:rPr>
        <w:t>f any findings of misuse of these funds are discovered, project funds will be returned to CDE.</w:t>
      </w:r>
    </w:p>
    <w:p w:rsidR="00120E7B" w:rsidRPr="00D565E9" w:rsidRDefault="00120E7B" w:rsidP="00120E7B">
      <w:pPr>
        <w:pStyle w:val="ListParagraph"/>
        <w:numPr>
          <w:ilvl w:val="0"/>
          <w:numId w:val="1"/>
        </w:numPr>
        <w:tabs>
          <w:tab w:val="left" w:pos="-720"/>
        </w:tabs>
        <w:suppressAutoHyphens/>
        <w:rPr>
          <w:rFonts w:ascii="Calibri" w:hAnsi="Calibri" w:cs="Arial"/>
          <w:color w:val="auto"/>
          <w:kern w:val="2"/>
        </w:rPr>
      </w:pPr>
      <w:r w:rsidRPr="00D565E9">
        <w:rPr>
          <w:rFonts w:ascii="Calibri" w:hAnsi="Calibri" w:cs="Arial"/>
          <w:color w:val="auto"/>
          <w:kern w:val="2"/>
        </w:rPr>
        <w:t>The grantee will maintain sole responsibility for the project even though subcontractors may be used to perform certain services.</w:t>
      </w:r>
    </w:p>
    <w:p w:rsidR="00120E7B" w:rsidRPr="00D565E9" w:rsidRDefault="00120E7B" w:rsidP="00120E7B">
      <w:pPr>
        <w:tabs>
          <w:tab w:val="left" w:pos="-720"/>
        </w:tabs>
        <w:suppressAutoHyphens/>
        <w:rPr>
          <w:rFonts w:ascii="Calibri" w:hAnsi="Calibri" w:cs="Arial"/>
          <w:color w:val="auto"/>
          <w:kern w:val="2"/>
        </w:rPr>
      </w:pPr>
    </w:p>
    <w:p w:rsidR="00120E7B" w:rsidRPr="00D565E9" w:rsidRDefault="00120E7B" w:rsidP="00120E7B">
      <w:pPr>
        <w:tabs>
          <w:tab w:val="left" w:pos="-720"/>
        </w:tabs>
        <w:suppressAutoHyphens/>
        <w:rPr>
          <w:rFonts w:ascii="Calibri" w:eastAsia="Times New Roman" w:hAnsi="Calibri" w:cs="Times New Roman"/>
          <w:color w:val="auto"/>
        </w:rPr>
      </w:pPr>
      <w:r w:rsidRPr="00D565E9">
        <w:rPr>
          <w:rFonts w:ascii="Calibri" w:hAnsi="Calibri" w:cs="Arial"/>
          <w:color w:val="auto"/>
          <w:kern w:val="2"/>
        </w:rPr>
        <w:t>In addition, if approved for participation and/or funding for programs within the Exploration, CDE Designed and/or Districtwide Support routes, the LEA will be asked to sign program specific assurances once participation begins</w:t>
      </w:r>
      <w:r w:rsidRPr="00D565E9">
        <w:rPr>
          <w:rFonts w:ascii="Calibri" w:eastAsia="Times New Roman" w:hAnsi="Calibri" w:cs="Times New Roman"/>
          <w:color w:val="auto"/>
        </w:rPr>
        <w:t xml:space="preserve">. </w:t>
      </w:r>
      <w:r w:rsidRPr="004E2B8C">
        <w:rPr>
          <w:rFonts w:ascii="Calibri" w:eastAsia="Times New Roman" w:hAnsi="Calibri" w:cs="Times New Roman"/>
          <w:b/>
          <w:color w:val="auto"/>
        </w:rPr>
        <w:t xml:space="preserve">Program specific assurances can be found in </w:t>
      </w:r>
      <w:r>
        <w:rPr>
          <w:rFonts w:ascii="Calibri" w:eastAsia="Times New Roman" w:hAnsi="Calibri" w:cs="Times New Roman"/>
          <w:b/>
          <w:color w:val="auto"/>
        </w:rPr>
        <w:t>the Route Information Pages (</w:t>
      </w:r>
      <w:r w:rsidRPr="004E2B8C">
        <w:rPr>
          <w:rFonts w:ascii="Calibri" w:eastAsia="Times New Roman" w:hAnsi="Calibri" w:cs="Times New Roman"/>
          <w:b/>
          <w:color w:val="auto"/>
        </w:rPr>
        <w:t>Attachment C</w:t>
      </w:r>
      <w:r>
        <w:rPr>
          <w:rFonts w:ascii="Calibri" w:eastAsia="Times New Roman" w:hAnsi="Calibri" w:cs="Times New Roman"/>
          <w:b/>
          <w:color w:val="auto"/>
        </w:rPr>
        <w:t>)</w:t>
      </w:r>
      <w:r w:rsidRPr="004E2B8C">
        <w:rPr>
          <w:rFonts w:ascii="Calibri" w:eastAsia="Times New Roman" w:hAnsi="Calibri" w:cs="Times New Roman"/>
          <w:b/>
          <w:color w:val="auto"/>
        </w:rPr>
        <w:t xml:space="preserve"> or by following the links below. </w:t>
      </w:r>
    </w:p>
    <w:p w:rsidR="00120E7B" w:rsidRPr="00FE7875" w:rsidRDefault="00120E7B" w:rsidP="00120E7B">
      <w:pPr>
        <w:rPr>
          <w:b/>
          <w:bCs/>
          <w:color w:val="FFFFFF" w:themeColor="background1"/>
        </w:rPr>
      </w:pPr>
      <w:r w:rsidRPr="00841B35">
        <w:rPr>
          <w:b/>
          <w:bCs/>
          <w:color w:val="FFFFFF" w:themeColor="background1"/>
          <w:shd w:val="clear" w:color="auto" w:fill="ED7D31" w:themeFill="accent2"/>
        </w:rPr>
        <w:t>Exploration Supports</w:t>
      </w:r>
    </w:p>
    <w:p w:rsidR="00120E7B" w:rsidRPr="00EE4DC5" w:rsidRDefault="00120E7B" w:rsidP="00120E7B">
      <w:pPr>
        <w:rPr>
          <w:bCs/>
          <w:color w:val="auto"/>
          <w:u w:val="single"/>
        </w:rPr>
      </w:pPr>
      <w:r>
        <w:rPr>
          <w:b/>
          <w:bCs/>
          <w:color w:val="auto"/>
        </w:rPr>
        <w:tab/>
      </w:r>
      <w:hyperlink r:id="rId7" w:history="1">
        <w:r w:rsidRPr="003F7F05">
          <w:rPr>
            <w:rStyle w:val="Hyperlink"/>
            <w:bCs/>
          </w:rPr>
          <w:t>Diagnostic Review and Planning</w:t>
        </w:r>
      </w:hyperlink>
    </w:p>
    <w:p w:rsidR="00120E7B" w:rsidRPr="00633BBD" w:rsidRDefault="00120E7B" w:rsidP="00120E7B">
      <w:pPr>
        <w:rPr>
          <w:bCs/>
          <w:color w:val="auto"/>
          <w:u w:val="single"/>
        </w:rPr>
      </w:pPr>
      <w:r w:rsidRPr="00EE4DC5">
        <w:rPr>
          <w:bCs/>
          <w:color w:val="auto"/>
        </w:rPr>
        <w:tab/>
      </w:r>
      <w:hyperlink r:id="rId8" w:history="1">
        <w:r w:rsidRPr="003F7F05">
          <w:rPr>
            <w:rStyle w:val="Hyperlink"/>
            <w:bCs/>
          </w:rPr>
          <w:t>Accountability Pathways Planning</w:t>
        </w:r>
      </w:hyperlink>
    </w:p>
    <w:p w:rsidR="00120E7B" w:rsidRPr="00FE7875" w:rsidRDefault="00120E7B" w:rsidP="00120E7B">
      <w:pPr>
        <w:rPr>
          <w:b/>
          <w:bCs/>
          <w:color w:val="auto"/>
        </w:rPr>
      </w:pPr>
    </w:p>
    <w:p w:rsidR="00120E7B" w:rsidRDefault="00120E7B" w:rsidP="00120E7B">
      <w:pPr>
        <w:rPr>
          <w:b/>
          <w:bCs/>
          <w:color w:val="FFFFFF" w:themeColor="background1"/>
          <w:shd w:val="clear" w:color="auto" w:fill="FF0000"/>
        </w:rPr>
      </w:pPr>
      <w:r w:rsidRPr="00CC2090">
        <w:rPr>
          <w:b/>
          <w:bCs/>
          <w:color w:val="FFFFFF" w:themeColor="background1"/>
          <w:shd w:val="clear" w:color="auto" w:fill="C00000"/>
        </w:rPr>
        <w:lastRenderedPageBreak/>
        <w:t>District Designed and Led Improvement Strategies</w:t>
      </w:r>
    </w:p>
    <w:p w:rsidR="00120E7B" w:rsidRDefault="00120E7B" w:rsidP="00120E7B">
      <w:pPr>
        <w:ind w:firstLine="720"/>
        <w:rPr>
          <w:bCs/>
          <w:i/>
          <w:color w:val="auto"/>
        </w:rPr>
      </w:pPr>
      <w:r w:rsidRPr="00FB75A6">
        <w:rPr>
          <w:bCs/>
          <w:i/>
          <w:color w:val="auto"/>
        </w:rPr>
        <w:t>(No additional assurances</w:t>
      </w:r>
      <w:r>
        <w:rPr>
          <w:bCs/>
          <w:i/>
          <w:color w:val="auto"/>
        </w:rPr>
        <w:t xml:space="preserve"> beyond the assurances stated above</w:t>
      </w:r>
      <w:r w:rsidRPr="00FB75A6">
        <w:rPr>
          <w:bCs/>
          <w:i/>
          <w:color w:val="auto"/>
        </w:rPr>
        <w:t>)</w:t>
      </w:r>
    </w:p>
    <w:p w:rsidR="00120E7B" w:rsidRDefault="00120E7B" w:rsidP="00120E7B">
      <w:pPr>
        <w:rPr>
          <w:b/>
          <w:bCs/>
          <w:color w:val="FFFFFF" w:themeColor="background1"/>
          <w:shd w:val="clear" w:color="auto" w:fill="00B050"/>
        </w:rPr>
      </w:pPr>
    </w:p>
    <w:p w:rsidR="00120E7B" w:rsidRDefault="00120E7B" w:rsidP="00120E7B">
      <w:pPr>
        <w:rPr>
          <w:b/>
          <w:bCs/>
          <w:color w:val="auto"/>
        </w:rPr>
      </w:pPr>
      <w:r w:rsidRPr="00FE7875">
        <w:rPr>
          <w:b/>
          <w:bCs/>
          <w:color w:val="FFFFFF" w:themeColor="background1"/>
          <w:shd w:val="clear" w:color="auto" w:fill="00B050"/>
        </w:rPr>
        <w:t>CDE</w:t>
      </w:r>
      <w:r>
        <w:rPr>
          <w:b/>
          <w:bCs/>
          <w:color w:val="FFFFFF" w:themeColor="background1"/>
          <w:shd w:val="clear" w:color="auto" w:fill="00B050"/>
        </w:rPr>
        <w:t xml:space="preserve"> Offer</w:t>
      </w:r>
      <w:r w:rsidRPr="00FE7875">
        <w:rPr>
          <w:b/>
          <w:bCs/>
          <w:color w:val="FFFFFF" w:themeColor="background1"/>
          <w:shd w:val="clear" w:color="auto" w:fill="00B050"/>
        </w:rPr>
        <w:t>ed Services</w:t>
      </w:r>
      <w:r w:rsidRPr="00297AA4">
        <w:rPr>
          <w:b/>
          <w:bCs/>
          <w:color w:val="auto"/>
        </w:rPr>
        <w:t xml:space="preserve"> </w:t>
      </w:r>
    </w:p>
    <w:p w:rsidR="00120E7B" w:rsidRPr="00EE4DC5" w:rsidRDefault="00120E7B" w:rsidP="00120E7B">
      <w:pPr>
        <w:rPr>
          <w:bCs/>
          <w:color w:val="auto"/>
          <w:u w:val="single"/>
        </w:rPr>
      </w:pPr>
      <w:r>
        <w:rPr>
          <w:b/>
          <w:bCs/>
          <w:color w:val="auto"/>
        </w:rPr>
        <w:tab/>
      </w:r>
      <w:hyperlink r:id="rId9" w:history="1">
        <w:r w:rsidRPr="003F7F05">
          <w:rPr>
            <w:rStyle w:val="Hyperlink"/>
            <w:bCs/>
          </w:rPr>
          <w:t>Connect for Success</w:t>
        </w:r>
      </w:hyperlink>
    </w:p>
    <w:p w:rsidR="00120E7B" w:rsidRPr="00EE4DC5" w:rsidRDefault="00120E7B" w:rsidP="00120E7B">
      <w:pPr>
        <w:rPr>
          <w:bCs/>
          <w:color w:val="auto"/>
          <w:u w:val="single"/>
        </w:rPr>
      </w:pPr>
      <w:r w:rsidRPr="00EE4DC5">
        <w:rPr>
          <w:bCs/>
          <w:color w:val="auto"/>
        </w:rPr>
        <w:tab/>
      </w:r>
      <w:hyperlink r:id="rId10" w:history="1">
        <w:r w:rsidRPr="003F7F05">
          <w:rPr>
            <w:rStyle w:val="Hyperlink"/>
            <w:bCs/>
          </w:rPr>
          <w:t>School Turnaround Network</w:t>
        </w:r>
      </w:hyperlink>
    </w:p>
    <w:p w:rsidR="00120E7B" w:rsidRDefault="00120E7B" w:rsidP="00120E7B">
      <w:pPr>
        <w:rPr>
          <w:b/>
          <w:color w:val="auto"/>
        </w:rPr>
      </w:pPr>
      <w:r w:rsidRPr="00EE4DC5">
        <w:rPr>
          <w:bCs/>
          <w:color w:val="auto"/>
        </w:rPr>
        <w:tab/>
      </w:r>
    </w:p>
    <w:p w:rsidR="00120E7B" w:rsidRDefault="00120E7B" w:rsidP="00120E7B">
      <w:pPr>
        <w:rPr>
          <w:bCs/>
          <w:i/>
          <w:color w:val="auto"/>
        </w:rPr>
      </w:pPr>
      <w:r w:rsidRPr="007D1BB2">
        <w:rPr>
          <w:b/>
          <w:bCs/>
          <w:color w:val="FFFFFF" w:themeColor="background1"/>
          <w:shd w:val="clear" w:color="auto" w:fill="0070C0"/>
        </w:rPr>
        <w:t xml:space="preserve">Continuation of CDE </w:t>
      </w:r>
      <w:r>
        <w:rPr>
          <w:b/>
          <w:bCs/>
          <w:color w:val="FFFFFF" w:themeColor="background1"/>
          <w:shd w:val="clear" w:color="auto" w:fill="0070C0"/>
        </w:rPr>
        <w:t>Offer</w:t>
      </w:r>
      <w:r w:rsidRPr="007D1BB2">
        <w:rPr>
          <w:b/>
          <w:bCs/>
          <w:color w:val="FFFFFF" w:themeColor="background1"/>
          <w:shd w:val="clear" w:color="auto" w:fill="0070C0"/>
        </w:rPr>
        <w:t>ed Services</w:t>
      </w:r>
      <w:r w:rsidRPr="00FB75A6">
        <w:rPr>
          <w:b/>
          <w:bCs/>
          <w:color w:val="FFFFFF" w:themeColor="background1"/>
        </w:rPr>
        <w:t xml:space="preserve"> </w:t>
      </w:r>
    </w:p>
    <w:p w:rsidR="00120E7B" w:rsidRDefault="00120E7B" w:rsidP="00120E7B">
      <w:pPr>
        <w:ind w:firstLine="720"/>
        <w:rPr>
          <w:b/>
          <w:color w:val="auto"/>
        </w:rPr>
      </w:pPr>
      <w:r w:rsidRPr="00FB75A6">
        <w:rPr>
          <w:bCs/>
          <w:i/>
          <w:color w:val="auto"/>
        </w:rPr>
        <w:t>(</w:t>
      </w:r>
      <w:r>
        <w:rPr>
          <w:bCs/>
          <w:i/>
          <w:color w:val="auto"/>
        </w:rPr>
        <w:t>A</w:t>
      </w:r>
      <w:r w:rsidRPr="00FB75A6">
        <w:rPr>
          <w:bCs/>
          <w:i/>
          <w:color w:val="auto"/>
        </w:rPr>
        <w:t>ssurances</w:t>
      </w:r>
      <w:r>
        <w:rPr>
          <w:bCs/>
          <w:i/>
          <w:color w:val="auto"/>
        </w:rPr>
        <w:t xml:space="preserve"> have already been signed – no additional assurances needed</w:t>
      </w:r>
      <w:r w:rsidRPr="00FB75A6">
        <w:rPr>
          <w:bCs/>
          <w:i/>
          <w:color w:val="auto"/>
        </w:rPr>
        <w:t>)</w:t>
      </w:r>
    </w:p>
    <w:p w:rsidR="00120E7B" w:rsidRPr="00297AA4" w:rsidRDefault="00120E7B" w:rsidP="00120E7B">
      <w:pPr>
        <w:rPr>
          <w:b/>
          <w:color w:val="auto"/>
        </w:rPr>
      </w:pPr>
    </w:p>
    <w:p w:rsidR="00120E7B" w:rsidRPr="00633BBD" w:rsidRDefault="00120E7B" w:rsidP="00120E7B">
      <w:pPr>
        <w:tabs>
          <w:tab w:val="left" w:pos="-720"/>
        </w:tabs>
        <w:suppressAutoHyphens/>
        <w:rPr>
          <w:b/>
          <w:bCs/>
          <w:color w:val="auto"/>
        </w:rPr>
      </w:pPr>
      <w:r w:rsidRPr="00FE7875">
        <w:rPr>
          <w:b/>
          <w:bCs/>
          <w:color w:val="FFFFFF" w:themeColor="background1"/>
          <w:shd w:val="clear" w:color="auto" w:fill="7030A0"/>
        </w:rPr>
        <w:t>Districtwide Supports</w:t>
      </w:r>
    </w:p>
    <w:p w:rsidR="00120E7B" w:rsidRPr="00EE4DC5" w:rsidRDefault="00120E7B" w:rsidP="00120E7B">
      <w:pPr>
        <w:tabs>
          <w:tab w:val="left" w:pos="-720"/>
        </w:tabs>
        <w:suppressAutoHyphens/>
        <w:rPr>
          <w:bCs/>
          <w:color w:val="auto"/>
          <w:u w:val="single"/>
        </w:rPr>
      </w:pPr>
      <w:r>
        <w:rPr>
          <w:b/>
          <w:bCs/>
          <w:color w:val="auto"/>
        </w:rPr>
        <w:tab/>
      </w:r>
      <w:hyperlink r:id="rId11" w:history="1">
        <w:r w:rsidRPr="003F7F05">
          <w:rPr>
            <w:rStyle w:val="Hyperlink"/>
            <w:bCs/>
          </w:rPr>
          <w:t>Colorado Multi-Tiered System of Supports (CO-MTSS)</w:t>
        </w:r>
      </w:hyperlink>
    </w:p>
    <w:p w:rsidR="00120E7B" w:rsidRDefault="00120E7B" w:rsidP="00120E7B">
      <w:pPr>
        <w:tabs>
          <w:tab w:val="left" w:pos="-720"/>
        </w:tabs>
        <w:suppressAutoHyphens/>
        <w:rPr>
          <w:bCs/>
          <w:color w:val="auto"/>
          <w:u w:val="single"/>
        </w:rPr>
      </w:pPr>
      <w:r w:rsidRPr="00FE7875">
        <w:rPr>
          <w:bCs/>
          <w:color w:val="auto"/>
        </w:rPr>
        <w:tab/>
      </w:r>
      <w:hyperlink r:id="rId12" w:history="1">
        <w:r w:rsidRPr="003F7F05">
          <w:rPr>
            <w:rStyle w:val="Hyperlink"/>
            <w:bCs/>
          </w:rPr>
          <w:t>School Turnaround Leaders Development Program</w:t>
        </w:r>
      </w:hyperlink>
    </w:p>
    <w:p w:rsidR="00120E7B" w:rsidRDefault="00120E7B" w:rsidP="00120E7B">
      <w:pPr>
        <w:rPr>
          <w:b/>
          <w:bCs/>
          <w:color w:val="FFFFFF" w:themeColor="background1"/>
          <w:shd w:val="clear" w:color="auto" w:fill="ED7D31" w:themeFill="accent2"/>
        </w:rPr>
      </w:pPr>
    </w:p>
    <w:p w:rsidR="00120E7B" w:rsidRPr="00D565E9" w:rsidRDefault="00120E7B" w:rsidP="00120E7B">
      <w:pPr>
        <w:rPr>
          <w:color w:val="auto"/>
          <w:kern w:val="2"/>
        </w:rPr>
      </w:pPr>
      <w:r w:rsidRPr="00D565E9">
        <w:rPr>
          <w:color w:val="auto"/>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120E7B" w:rsidRPr="00D565E9" w:rsidRDefault="00120E7B" w:rsidP="00120E7B">
      <w:pPr>
        <w:rPr>
          <w:color w:val="auto"/>
          <w:kern w:val="2"/>
        </w:rPr>
      </w:pPr>
    </w:p>
    <w:p w:rsidR="00120E7B" w:rsidRPr="00D565E9" w:rsidRDefault="00120E7B" w:rsidP="00120E7B">
      <w:pPr>
        <w:rPr>
          <w:color w:val="auto"/>
          <w:kern w:val="2"/>
        </w:rPr>
      </w:pPr>
      <w:r w:rsidRPr="00D565E9">
        <w:rPr>
          <w:color w:val="auto"/>
          <w:kern w:val="2"/>
        </w:rPr>
        <w:t xml:space="preserve">Project modifications and changes in the approved budget must be requested in writing and be approved in writing by the Colorado Department of Education </w:t>
      </w:r>
      <w:r w:rsidRPr="00D565E9">
        <w:rPr>
          <w:color w:val="auto"/>
          <w:kern w:val="2"/>
          <w:u w:val="single"/>
        </w:rPr>
        <w:t>before</w:t>
      </w:r>
      <w:r w:rsidRPr="00D565E9">
        <w:rPr>
          <w:color w:val="auto"/>
          <w:kern w:val="2"/>
        </w:rPr>
        <w:t xml:space="preserve"> modifications are made to the expenditures. Please contact the identified program contact for the applicable support and Evan Davis (Davis_E@cde.state.co.us / 303-866-6129) of CDE’s Grants Fiscal Management to request any modifications.</w:t>
      </w:r>
    </w:p>
    <w:p w:rsidR="00120E7B" w:rsidRPr="00D565E9" w:rsidRDefault="00120E7B" w:rsidP="00120E7B">
      <w:pPr>
        <w:numPr>
          <w:ilvl w:val="12"/>
          <w:numId w:val="0"/>
        </w:numPr>
        <w:tabs>
          <w:tab w:val="left" w:pos="-720"/>
        </w:tabs>
        <w:suppressAutoHyphens/>
        <w:rPr>
          <w:rFonts w:ascii="Calibri" w:hAnsi="Calibri" w:cs="Arial"/>
          <w:color w:val="auto"/>
          <w:kern w:val="2"/>
        </w:rPr>
      </w:pPr>
    </w:p>
    <w:p w:rsidR="00120E7B" w:rsidRPr="00D565E9" w:rsidRDefault="00120E7B" w:rsidP="00120E7B">
      <w:pPr>
        <w:numPr>
          <w:ilvl w:val="12"/>
          <w:numId w:val="0"/>
        </w:numPr>
        <w:tabs>
          <w:tab w:val="left" w:pos="-720"/>
        </w:tabs>
        <w:suppressAutoHyphens/>
        <w:rPr>
          <w:rFonts w:ascii="Calibri" w:hAnsi="Calibri" w:cs="Arial"/>
          <w:color w:val="auto"/>
          <w:kern w:val="2"/>
        </w:rPr>
      </w:pPr>
      <w:r w:rsidRPr="00D565E9">
        <w:rPr>
          <w:rFonts w:ascii="Calibri" w:hAnsi="Calibri" w:cs="Arial"/>
          <w:color w:val="auto"/>
          <w:kern w:val="2"/>
        </w:rPr>
        <w:t xml:space="preserve">By signing below, the LEA </w:t>
      </w:r>
      <w:r w:rsidRPr="00D565E9">
        <w:rPr>
          <w:color w:val="auto"/>
          <w:kern w:val="2"/>
        </w:rPr>
        <w:t>indicates their approval of the contents of the application, and the receipt of program funds and supports</w:t>
      </w:r>
      <w:r w:rsidRPr="00D565E9">
        <w:rPr>
          <w:rFonts w:ascii="Calibri" w:hAnsi="Calibri" w:cs="Arial"/>
          <w:color w:val="auto"/>
          <w:kern w:val="2"/>
        </w:rPr>
        <w:t xml:space="preserve"> for the 2017-2018 school year.</w:t>
      </w:r>
    </w:p>
    <w:p w:rsidR="00120E7B" w:rsidRPr="00D565E9" w:rsidRDefault="00120E7B" w:rsidP="00120E7B">
      <w:pPr>
        <w:numPr>
          <w:ilvl w:val="12"/>
          <w:numId w:val="0"/>
        </w:numPr>
        <w:tabs>
          <w:tab w:val="left" w:pos="-720"/>
        </w:tabs>
        <w:suppressAutoHyphens/>
        <w:rPr>
          <w:rFonts w:ascii="Calibri" w:hAnsi="Calibri" w:cs="Arial"/>
          <w:color w:val="auto"/>
          <w:kern w:val="2"/>
        </w:rPr>
      </w:pPr>
    </w:p>
    <w:p w:rsidR="00120E7B" w:rsidRPr="00D565E9" w:rsidRDefault="00120E7B" w:rsidP="00120E7B">
      <w:pPr>
        <w:numPr>
          <w:ilvl w:val="12"/>
          <w:numId w:val="0"/>
        </w:numPr>
        <w:tabs>
          <w:tab w:val="left" w:pos="-720"/>
        </w:tabs>
        <w:suppressAutoHyphens/>
        <w:rPr>
          <w:rFonts w:ascii="Calibri" w:hAnsi="Calibri" w:cs="Arial"/>
          <w:color w:val="auto"/>
          <w:kern w:val="2"/>
        </w:rPr>
      </w:pPr>
    </w:p>
    <w:tbl>
      <w:tblPr>
        <w:tblW w:w="5000" w:type="pct"/>
        <w:jc w:val="center"/>
        <w:tblLook w:val="04A0" w:firstRow="1" w:lastRow="0" w:firstColumn="1" w:lastColumn="0" w:noHBand="0" w:noVBand="1"/>
      </w:tblPr>
      <w:tblGrid>
        <w:gridCol w:w="5254"/>
        <w:gridCol w:w="253"/>
        <w:gridCol w:w="3853"/>
      </w:tblGrid>
      <w:tr w:rsidR="00120E7B" w:rsidRPr="00D565E9" w:rsidTr="000B18A3">
        <w:trPr>
          <w:trHeight w:val="720"/>
          <w:jc w:val="center"/>
        </w:trPr>
        <w:tc>
          <w:tcPr>
            <w:tcW w:w="2807" w:type="pct"/>
            <w:tcBorders>
              <w:bottom w:val="single" w:sz="4" w:space="0" w:color="auto"/>
            </w:tcBorders>
            <w:vAlign w:val="bottom"/>
          </w:tcPr>
          <w:p w:rsidR="00120E7B" w:rsidRPr="00D565E9" w:rsidRDefault="00120E7B" w:rsidP="000B18A3">
            <w:pPr>
              <w:jc w:val="center"/>
              <w:rPr>
                <w:rFonts w:cs="Arial"/>
                <w:color w:val="auto"/>
                <w:kern w:val="2"/>
                <w:sz w:val="20"/>
                <w:szCs w:val="20"/>
              </w:rPr>
            </w:pPr>
          </w:p>
          <w:p w:rsidR="00120E7B" w:rsidRPr="00D565E9" w:rsidRDefault="00120E7B" w:rsidP="000B18A3">
            <w:pPr>
              <w:jc w:val="center"/>
              <w:rPr>
                <w:rFonts w:cs="Arial"/>
                <w:color w:val="auto"/>
                <w:kern w:val="2"/>
                <w:sz w:val="20"/>
                <w:szCs w:val="20"/>
              </w:rPr>
            </w:pPr>
          </w:p>
        </w:tc>
        <w:tc>
          <w:tcPr>
            <w:tcW w:w="135" w:type="pct"/>
          </w:tcPr>
          <w:p w:rsidR="00120E7B" w:rsidRPr="00D565E9" w:rsidRDefault="00120E7B" w:rsidP="000B18A3">
            <w:pPr>
              <w:jc w:val="center"/>
              <w:rPr>
                <w:rFonts w:cs="Arial"/>
                <w:color w:val="auto"/>
                <w:kern w:val="2"/>
                <w:sz w:val="20"/>
                <w:szCs w:val="20"/>
              </w:rPr>
            </w:pPr>
          </w:p>
        </w:tc>
        <w:tc>
          <w:tcPr>
            <w:tcW w:w="2058" w:type="pct"/>
            <w:tcBorders>
              <w:bottom w:val="single" w:sz="4" w:space="0" w:color="auto"/>
            </w:tcBorders>
            <w:vAlign w:val="bottom"/>
          </w:tcPr>
          <w:p w:rsidR="00120E7B" w:rsidRPr="00D565E9" w:rsidRDefault="00120E7B" w:rsidP="000B18A3">
            <w:pPr>
              <w:jc w:val="center"/>
              <w:rPr>
                <w:rFonts w:cs="Arial"/>
                <w:color w:val="auto"/>
                <w:kern w:val="2"/>
                <w:sz w:val="20"/>
                <w:szCs w:val="20"/>
              </w:rPr>
            </w:pPr>
          </w:p>
        </w:tc>
      </w:tr>
      <w:tr w:rsidR="00120E7B" w:rsidRPr="00D565E9" w:rsidTr="000B18A3">
        <w:trPr>
          <w:trHeight w:val="504"/>
          <w:jc w:val="center"/>
        </w:trPr>
        <w:tc>
          <w:tcPr>
            <w:tcW w:w="2807" w:type="pct"/>
            <w:tcBorders>
              <w:top w:val="single" w:sz="4" w:space="0" w:color="auto"/>
            </w:tcBorders>
          </w:tcPr>
          <w:p w:rsidR="00120E7B" w:rsidRPr="00D565E9" w:rsidRDefault="00120E7B" w:rsidP="000B18A3">
            <w:pPr>
              <w:jc w:val="center"/>
              <w:rPr>
                <w:rFonts w:cs="Arial"/>
                <w:color w:val="auto"/>
                <w:kern w:val="2"/>
                <w:sz w:val="20"/>
                <w:szCs w:val="20"/>
              </w:rPr>
            </w:pPr>
            <w:r w:rsidRPr="00D565E9">
              <w:rPr>
                <w:rFonts w:cs="Arial"/>
                <w:color w:val="auto"/>
                <w:kern w:val="2"/>
                <w:sz w:val="20"/>
                <w:szCs w:val="20"/>
              </w:rPr>
              <w:t>Name of School Board President/BOCES President/Charter School Board President</w:t>
            </w:r>
          </w:p>
          <w:p w:rsidR="00120E7B" w:rsidRPr="00D565E9" w:rsidRDefault="00120E7B" w:rsidP="000B18A3">
            <w:pPr>
              <w:jc w:val="center"/>
              <w:rPr>
                <w:rFonts w:cs="Arial"/>
                <w:color w:val="auto"/>
                <w:kern w:val="2"/>
                <w:sz w:val="20"/>
                <w:szCs w:val="20"/>
              </w:rPr>
            </w:pPr>
            <w:r w:rsidRPr="00D565E9">
              <w:rPr>
                <w:rFonts w:cs="Arial"/>
                <w:color w:val="auto"/>
                <w:kern w:val="2"/>
                <w:sz w:val="20"/>
                <w:szCs w:val="20"/>
              </w:rPr>
              <w:t>(if applicable)</w:t>
            </w:r>
          </w:p>
        </w:tc>
        <w:tc>
          <w:tcPr>
            <w:tcW w:w="135" w:type="pct"/>
          </w:tcPr>
          <w:p w:rsidR="00120E7B" w:rsidRPr="00D565E9" w:rsidRDefault="00120E7B" w:rsidP="000B18A3">
            <w:pPr>
              <w:jc w:val="center"/>
              <w:rPr>
                <w:rFonts w:cs="Arial"/>
                <w:color w:val="auto"/>
                <w:kern w:val="2"/>
                <w:sz w:val="20"/>
                <w:szCs w:val="20"/>
              </w:rPr>
            </w:pPr>
          </w:p>
        </w:tc>
        <w:tc>
          <w:tcPr>
            <w:tcW w:w="2058" w:type="pct"/>
            <w:tcBorders>
              <w:top w:val="single" w:sz="4" w:space="0" w:color="auto"/>
            </w:tcBorders>
          </w:tcPr>
          <w:p w:rsidR="00120E7B" w:rsidRPr="00D565E9" w:rsidRDefault="00120E7B" w:rsidP="000B18A3">
            <w:pPr>
              <w:jc w:val="center"/>
              <w:rPr>
                <w:rFonts w:cs="Arial"/>
                <w:color w:val="auto"/>
                <w:kern w:val="2"/>
                <w:sz w:val="20"/>
                <w:szCs w:val="20"/>
              </w:rPr>
            </w:pPr>
            <w:r w:rsidRPr="00D565E9">
              <w:rPr>
                <w:rFonts w:cs="Arial"/>
                <w:color w:val="auto"/>
                <w:kern w:val="2"/>
                <w:sz w:val="20"/>
                <w:szCs w:val="20"/>
              </w:rPr>
              <w:t>Signature</w:t>
            </w:r>
          </w:p>
        </w:tc>
      </w:tr>
      <w:tr w:rsidR="00120E7B" w:rsidRPr="00D565E9" w:rsidTr="000B18A3">
        <w:trPr>
          <w:trHeight w:val="1368"/>
          <w:jc w:val="center"/>
        </w:trPr>
        <w:tc>
          <w:tcPr>
            <w:tcW w:w="2807" w:type="pct"/>
            <w:tcBorders>
              <w:bottom w:val="single" w:sz="4" w:space="0" w:color="auto"/>
            </w:tcBorders>
            <w:vAlign w:val="bottom"/>
          </w:tcPr>
          <w:p w:rsidR="00120E7B" w:rsidRPr="00D565E9" w:rsidRDefault="00120E7B" w:rsidP="000B18A3">
            <w:pPr>
              <w:jc w:val="center"/>
              <w:rPr>
                <w:rFonts w:cs="Arial"/>
                <w:color w:val="auto"/>
                <w:kern w:val="2"/>
                <w:sz w:val="20"/>
                <w:szCs w:val="20"/>
              </w:rPr>
            </w:pPr>
          </w:p>
        </w:tc>
        <w:tc>
          <w:tcPr>
            <w:tcW w:w="135" w:type="pct"/>
          </w:tcPr>
          <w:p w:rsidR="00120E7B" w:rsidRPr="00D565E9" w:rsidRDefault="00120E7B" w:rsidP="000B18A3">
            <w:pPr>
              <w:jc w:val="center"/>
              <w:rPr>
                <w:rFonts w:cs="Arial"/>
                <w:color w:val="auto"/>
                <w:kern w:val="2"/>
                <w:sz w:val="20"/>
                <w:szCs w:val="20"/>
              </w:rPr>
            </w:pPr>
          </w:p>
        </w:tc>
        <w:tc>
          <w:tcPr>
            <w:tcW w:w="2058" w:type="pct"/>
            <w:tcBorders>
              <w:bottom w:val="single" w:sz="4" w:space="0" w:color="auto"/>
            </w:tcBorders>
            <w:vAlign w:val="bottom"/>
          </w:tcPr>
          <w:p w:rsidR="00120E7B" w:rsidRPr="00D565E9" w:rsidRDefault="00120E7B" w:rsidP="000B18A3">
            <w:pPr>
              <w:jc w:val="center"/>
              <w:rPr>
                <w:rFonts w:cs="Arial"/>
                <w:color w:val="auto"/>
                <w:kern w:val="2"/>
                <w:sz w:val="20"/>
                <w:szCs w:val="20"/>
              </w:rPr>
            </w:pPr>
          </w:p>
        </w:tc>
      </w:tr>
      <w:tr w:rsidR="00120E7B" w:rsidRPr="00D565E9" w:rsidTr="000B18A3">
        <w:trPr>
          <w:trHeight w:val="504"/>
          <w:jc w:val="center"/>
        </w:trPr>
        <w:tc>
          <w:tcPr>
            <w:tcW w:w="2807" w:type="pct"/>
            <w:tcBorders>
              <w:top w:val="single" w:sz="4" w:space="0" w:color="auto"/>
            </w:tcBorders>
          </w:tcPr>
          <w:p w:rsidR="00120E7B" w:rsidRPr="00D565E9" w:rsidRDefault="00120E7B" w:rsidP="000B18A3">
            <w:pPr>
              <w:jc w:val="center"/>
              <w:rPr>
                <w:rFonts w:cs="Arial"/>
                <w:color w:val="auto"/>
                <w:kern w:val="2"/>
                <w:sz w:val="20"/>
                <w:szCs w:val="20"/>
              </w:rPr>
            </w:pPr>
            <w:r w:rsidRPr="00D565E9">
              <w:rPr>
                <w:rFonts w:cs="Arial"/>
                <w:color w:val="auto"/>
                <w:kern w:val="2"/>
                <w:sz w:val="20"/>
                <w:szCs w:val="20"/>
              </w:rPr>
              <w:t>Name of District Superintendent or</w:t>
            </w:r>
          </w:p>
          <w:p w:rsidR="00120E7B" w:rsidRPr="00D565E9" w:rsidRDefault="00120E7B" w:rsidP="000B18A3">
            <w:pPr>
              <w:jc w:val="center"/>
              <w:rPr>
                <w:rFonts w:cs="Arial"/>
                <w:color w:val="auto"/>
                <w:kern w:val="2"/>
                <w:sz w:val="20"/>
                <w:szCs w:val="20"/>
              </w:rPr>
            </w:pPr>
            <w:r w:rsidRPr="00D565E9">
              <w:rPr>
                <w:rFonts w:cs="Arial"/>
                <w:color w:val="auto"/>
                <w:kern w:val="2"/>
                <w:sz w:val="20"/>
                <w:szCs w:val="20"/>
              </w:rPr>
              <w:t xml:space="preserve">CSI Authorized Representative/BOCES Executive Director </w:t>
            </w:r>
          </w:p>
          <w:p w:rsidR="00120E7B" w:rsidRPr="00D565E9" w:rsidRDefault="00120E7B" w:rsidP="000B18A3">
            <w:pPr>
              <w:jc w:val="center"/>
              <w:rPr>
                <w:rFonts w:cs="Arial"/>
                <w:color w:val="auto"/>
                <w:kern w:val="2"/>
                <w:sz w:val="20"/>
                <w:szCs w:val="20"/>
              </w:rPr>
            </w:pPr>
            <w:r w:rsidRPr="00D565E9">
              <w:rPr>
                <w:rFonts w:cs="Arial"/>
                <w:color w:val="auto"/>
                <w:kern w:val="2"/>
                <w:sz w:val="20"/>
                <w:szCs w:val="20"/>
              </w:rPr>
              <w:t>(if applicable)</w:t>
            </w:r>
          </w:p>
        </w:tc>
        <w:tc>
          <w:tcPr>
            <w:tcW w:w="135" w:type="pct"/>
          </w:tcPr>
          <w:p w:rsidR="00120E7B" w:rsidRPr="00D565E9" w:rsidRDefault="00120E7B" w:rsidP="000B18A3">
            <w:pPr>
              <w:jc w:val="center"/>
              <w:rPr>
                <w:rFonts w:cs="Arial"/>
                <w:color w:val="auto"/>
                <w:kern w:val="2"/>
                <w:sz w:val="20"/>
                <w:szCs w:val="20"/>
              </w:rPr>
            </w:pPr>
          </w:p>
        </w:tc>
        <w:tc>
          <w:tcPr>
            <w:tcW w:w="2058" w:type="pct"/>
            <w:tcBorders>
              <w:top w:val="single" w:sz="4" w:space="0" w:color="auto"/>
            </w:tcBorders>
          </w:tcPr>
          <w:p w:rsidR="00120E7B" w:rsidRPr="00D565E9" w:rsidRDefault="00120E7B" w:rsidP="000B18A3">
            <w:pPr>
              <w:jc w:val="center"/>
              <w:rPr>
                <w:rFonts w:cs="Arial"/>
                <w:color w:val="auto"/>
                <w:kern w:val="2"/>
                <w:sz w:val="20"/>
                <w:szCs w:val="20"/>
              </w:rPr>
            </w:pPr>
            <w:r w:rsidRPr="00D565E9">
              <w:rPr>
                <w:rFonts w:cs="Arial"/>
                <w:color w:val="auto"/>
                <w:kern w:val="2"/>
                <w:sz w:val="20"/>
                <w:szCs w:val="20"/>
              </w:rPr>
              <w:t>Signature</w:t>
            </w:r>
          </w:p>
        </w:tc>
      </w:tr>
    </w:tbl>
    <w:p w:rsidR="00D90A19" w:rsidRDefault="00D90A19" w:rsidP="00120E7B"/>
    <w:sectPr w:rsidR="00D90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7B" w:rsidRDefault="00120E7B" w:rsidP="00120E7B">
      <w:r>
        <w:separator/>
      </w:r>
    </w:p>
  </w:endnote>
  <w:endnote w:type="continuationSeparator" w:id="0">
    <w:p w:rsidR="00120E7B" w:rsidRDefault="00120E7B" w:rsidP="0012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7B" w:rsidRDefault="00120E7B" w:rsidP="00120E7B">
      <w:r>
        <w:separator/>
      </w:r>
    </w:p>
  </w:footnote>
  <w:footnote w:type="continuationSeparator" w:id="0">
    <w:p w:rsidR="00120E7B" w:rsidRDefault="00120E7B" w:rsidP="0012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B4DE7"/>
    <w:multiLevelType w:val="hybridMultilevel"/>
    <w:tmpl w:val="676E5F7A"/>
    <w:lvl w:ilvl="0" w:tplc="F81E5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3401D"/>
    <w:multiLevelType w:val="hybridMultilevel"/>
    <w:tmpl w:val="91DC2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7B"/>
    <w:rsid w:val="00012FA5"/>
    <w:rsid w:val="00120E7B"/>
    <w:rsid w:val="00356324"/>
    <w:rsid w:val="003C5F18"/>
    <w:rsid w:val="006C3D4E"/>
    <w:rsid w:val="00B31348"/>
    <w:rsid w:val="00D90A19"/>
    <w:rsid w:val="00DB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1F81-B8A5-4601-92EF-4000E2BB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7B"/>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20E7B"/>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E7B"/>
    <w:rPr>
      <w:b/>
      <w:color w:val="262626" w:themeColor="text1" w:themeTint="D9"/>
      <w:kern w:val="16"/>
      <w:sz w:val="28"/>
      <w:szCs w:val="28"/>
    </w:rPr>
  </w:style>
  <w:style w:type="table" w:styleId="TableGrid">
    <w:name w:val="Table Grid"/>
    <w:basedOn w:val="TableNormal"/>
    <w:uiPriority w:val="39"/>
    <w:rsid w:val="0012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E7B"/>
    <w:rPr>
      <w:color w:val="0563C1" w:themeColor="hyperlink"/>
      <w:u w:val="single"/>
    </w:rPr>
  </w:style>
  <w:style w:type="paragraph" w:styleId="ListParagraph">
    <w:name w:val="List Paragraph"/>
    <w:basedOn w:val="Normal"/>
    <w:uiPriority w:val="34"/>
    <w:qFormat/>
    <w:rsid w:val="00120E7B"/>
    <w:pPr>
      <w:ind w:left="720"/>
    </w:pPr>
  </w:style>
  <w:style w:type="paragraph" w:styleId="Header">
    <w:name w:val="header"/>
    <w:basedOn w:val="Normal"/>
    <w:link w:val="HeaderChar"/>
    <w:uiPriority w:val="99"/>
    <w:unhideWhenUsed/>
    <w:rsid w:val="00120E7B"/>
    <w:pPr>
      <w:tabs>
        <w:tab w:val="center" w:pos="4680"/>
        <w:tab w:val="right" w:pos="9360"/>
      </w:tabs>
    </w:pPr>
  </w:style>
  <w:style w:type="character" w:customStyle="1" w:styleId="HeaderChar">
    <w:name w:val="Header Char"/>
    <w:basedOn w:val="DefaultParagraphFont"/>
    <w:link w:val="Header"/>
    <w:uiPriority w:val="99"/>
    <w:rsid w:val="00120E7B"/>
    <w:rPr>
      <w:color w:val="262626" w:themeColor="text1" w:themeTint="D9"/>
      <w:kern w:val="16"/>
    </w:rPr>
  </w:style>
  <w:style w:type="paragraph" w:styleId="Footer">
    <w:name w:val="footer"/>
    <w:basedOn w:val="Normal"/>
    <w:link w:val="FooterChar"/>
    <w:uiPriority w:val="99"/>
    <w:unhideWhenUsed/>
    <w:rsid w:val="00120E7B"/>
    <w:pPr>
      <w:tabs>
        <w:tab w:val="center" w:pos="4680"/>
        <w:tab w:val="right" w:pos="9360"/>
      </w:tabs>
    </w:pPr>
  </w:style>
  <w:style w:type="character" w:customStyle="1" w:styleId="FooterChar">
    <w:name w:val="Footer Char"/>
    <w:basedOn w:val="DefaultParagraphFont"/>
    <w:link w:val="Footer"/>
    <w:uiPriority w:val="99"/>
    <w:rsid w:val="00120E7B"/>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accountabilitypathwaysresour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fedprograms/diagnosticreviewresource" TargetMode="External"/><Relationship Id="rId12" Type="http://schemas.openxmlformats.org/officeDocument/2006/relationships/hyperlink" Target="http://www.cde.state.co.us/fedprograms/turnaroundleaders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fedprograms/comtssresource" TargetMode="External"/><Relationship Id="rId5" Type="http://schemas.openxmlformats.org/officeDocument/2006/relationships/footnotes" Target="footnotes.xml"/><Relationship Id="rId10" Type="http://schemas.openxmlformats.org/officeDocument/2006/relationships/hyperlink" Target="http://www.cde.state.co.us/fedprograms/turnaroundnetworkresource" TargetMode="External"/><Relationship Id="rId4" Type="http://schemas.openxmlformats.org/officeDocument/2006/relationships/webSettings" Target="webSettings.xml"/><Relationship Id="rId9" Type="http://schemas.openxmlformats.org/officeDocument/2006/relationships/hyperlink" Target="http://www.cde.state.co.us/fedprograms/connectforsuccessresou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Anna</dc:creator>
  <cp:keywords/>
  <dc:description/>
  <cp:lastModifiedBy>Hollingshead, Jessica</cp:lastModifiedBy>
  <cp:revision>3</cp:revision>
  <dcterms:created xsi:type="dcterms:W3CDTF">2017-11-08T16:00:00Z</dcterms:created>
  <dcterms:modified xsi:type="dcterms:W3CDTF">2017-11-08T16:25:00Z</dcterms:modified>
</cp:coreProperties>
</file>