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A93A" w14:textId="77777777" w:rsidR="007925A3" w:rsidRDefault="00BF5C06">
      <w:pPr>
        <w:pStyle w:val="Title"/>
      </w:pPr>
      <w:r>
        <w:t>What’s New to EASI 2023?</w:t>
      </w:r>
    </w:p>
    <w:p w14:paraId="67ECA93B" w14:textId="77777777" w:rsidR="007925A3" w:rsidRDefault="00BF5C06">
      <w:pPr>
        <w:pStyle w:val="Heading1"/>
        <w:spacing w:before="0"/>
      </w:pPr>
      <w:r>
        <w:rPr>
          <w:sz w:val="30"/>
          <w:szCs w:val="30"/>
        </w:rPr>
        <w:t>Empowering Action for School Improvement</w:t>
      </w:r>
    </w:p>
    <w:p w14:paraId="67ECA93C" w14:textId="77777777" w:rsidR="007925A3" w:rsidRDefault="007925A3"/>
    <w:p w14:paraId="67ECA93D" w14:textId="77777777" w:rsidR="007925A3" w:rsidRDefault="007925A3"/>
    <w:p w14:paraId="67ECA93E" w14:textId="77777777" w:rsidR="007925A3" w:rsidRDefault="007925A3">
      <w:pPr>
        <w:pStyle w:val="Heading2"/>
        <w:spacing w:before="0"/>
      </w:pPr>
    </w:p>
    <w:p w14:paraId="67ECA93F" w14:textId="77777777" w:rsidR="007925A3" w:rsidRDefault="007925A3">
      <w:pPr>
        <w:pStyle w:val="Heading2"/>
        <w:spacing w:before="0"/>
      </w:pPr>
    </w:p>
    <w:p w14:paraId="67ECA940" w14:textId="77777777" w:rsidR="007925A3" w:rsidRDefault="00BF5C06">
      <w:pPr>
        <w:pStyle w:val="Heading2"/>
        <w:spacing w:before="0"/>
        <w:rPr>
          <w:rFonts w:eastAsia="Calibri" w:cs="Calibri"/>
          <w:color w:val="000000"/>
        </w:rPr>
      </w:pPr>
      <w:r>
        <w:rPr>
          <w:color w:val="000000"/>
        </w:rPr>
        <w:t>Overview</w:t>
      </w:r>
    </w:p>
    <w:p w14:paraId="67ECA941" w14:textId="77777777" w:rsidR="007925A3" w:rsidRDefault="00BF5C06">
      <w:r>
        <w:t>The Empowering Action for School Improvement (EASI) grant is entering Cohort 7 in 2023 and has approximately $15 million in funds available to eligible schools and districts. Each grant cycle, changes are made to improve the support, application process, and routes and services offered to eligible districts and schools. The following sections highlight the grant timeline and key changes and improvements made to the EASI grant since the previous grant cycle.</w:t>
      </w:r>
    </w:p>
    <w:p w14:paraId="67ECA942" w14:textId="77777777" w:rsidR="007925A3" w:rsidRDefault="007925A3"/>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690"/>
        <w:gridCol w:w="4110"/>
      </w:tblGrid>
      <w:tr w:rsidR="007925A3" w14:paraId="67ECA944" w14:textId="77777777" w:rsidTr="00132E83">
        <w:trPr>
          <w:trHeight w:val="420"/>
        </w:trPr>
        <w:tc>
          <w:tcPr>
            <w:tcW w:w="10800" w:type="dxa"/>
            <w:gridSpan w:val="2"/>
            <w:shd w:val="clear" w:color="auto" w:fill="CCCCCC"/>
            <w:tcMar>
              <w:top w:w="100" w:type="dxa"/>
              <w:left w:w="100" w:type="dxa"/>
              <w:bottom w:w="100" w:type="dxa"/>
              <w:right w:w="100" w:type="dxa"/>
            </w:tcMar>
          </w:tcPr>
          <w:p w14:paraId="67ECA943" w14:textId="77777777" w:rsidR="007925A3" w:rsidRDefault="00BF5C06">
            <w:pPr>
              <w:widowControl w:val="0"/>
              <w:pBdr>
                <w:top w:val="nil"/>
                <w:left w:val="nil"/>
                <w:bottom w:val="nil"/>
                <w:right w:val="nil"/>
                <w:between w:val="nil"/>
              </w:pBdr>
              <w:jc w:val="center"/>
              <w:rPr>
                <w:b/>
                <w:sz w:val="24"/>
                <w:szCs w:val="24"/>
              </w:rPr>
            </w:pPr>
            <w:r>
              <w:rPr>
                <w:b/>
                <w:sz w:val="24"/>
                <w:szCs w:val="24"/>
              </w:rPr>
              <w:t>Grant Timeline</w:t>
            </w:r>
          </w:p>
        </w:tc>
      </w:tr>
      <w:tr w:rsidR="007925A3" w14:paraId="67ECA947" w14:textId="77777777" w:rsidTr="00132E83">
        <w:tc>
          <w:tcPr>
            <w:tcW w:w="6690" w:type="dxa"/>
            <w:shd w:val="clear" w:color="auto" w:fill="auto"/>
            <w:tcMar>
              <w:top w:w="100" w:type="dxa"/>
              <w:left w:w="100" w:type="dxa"/>
              <w:bottom w:w="100" w:type="dxa"/>
              <w:right w:w="100" w:type="dxa"/>
            </w:tcMar>
          </w:tcPr>
          <w:p w14:paraId="67ECA945" w14:textId="77777777" w:rsidR="007925A3" w:rsidRDefault="00BF5C06">
            <w:pPr>
              <w:widowControl w:val="0"/>
              <w:pBdr>
                <w:top w:val="nil"/>
                <w:left w:val="nil"/>
                <w:bottom w:val="nil"/>
                <w:right w:val="nil"/>
                <w:between w:val="nil"/>
              </w:pBdr>
            </w:pPr>
            <w:r>
              <w:t>EASI Grant Application opens</w:t>
            </w:r>
          </w:p>
        </w:tc>
        <w:tc>
          <w:tcPr>
            <w:tcW w:w="4110" w:type="dxa"/>
            <w:shd w:val="clear" w:color="auto" w:fill="auto"/>
            <w:tcMar>
              <w:top w:w="100" w:type="dxa"/>
              <w:left w:w="100" w:type="dxa"/>
              <w:bottom w:w="100" w:type="dxa"/>
              <w:right w:w="100" w:type="dxa"/>
            </w:tcMar>
          </w:tcPr>
          <w:p w14:paraId="67ECA946" w14:textId="77777777" w:rsidR="007925A3" w:rsidRDefault="00BF5C06">
            <w:pPr>
              <w:widowControl w:val="0"/>
              <w:pBdr>
                <w:top w:val="nil"/>
                <w:left w:val="nil"/>
                <w:bottom w:val="nil"/>
                <w:right w:val="nil"/>
                <w:between w:val="nil"/>
              </w:pBdr>
              <w:jc w:val="center"/>
            </w:pPr>
            <w:r>
              <w:t>September 22, 2023</w:t>
            </w:r>
          </w:p>
        </w:tc>
      </w:tr>
      <w:tr w:rsidR="007925A3" w14:paraId="67ECA94A" w14:textId="77777777" w:rsidTr="00132E83">
        <w:tc>
          <w:tcPr>
            <w:tcW w:w="6690" w:type="dxa"/>
            <w:shd w:val="clear" w:color="auto" w:fill="auto"/>
            <w:tcMar>
              <w:top w:w="100" w:type="dxa"/>
              <w:left w:w="100" w:type="dxa"/>
              <w:bottom w:w="100" w:type="dxa"/>
              <w:right w:w="100" w:type="dxa"/>
            </w:tcMar>
          </w:tcPr>
          <w:p w14:paraId="67ECA948" w14:textId="77777777" w:rsidR="007925A3" w:rsidRDefault="00BF5C06">
            <w:pPr>
              <w:widowControl w:val="0"/>
              <w:pBdr>
                <w:top w:val="nil"/>
                <w:left w:val="nil"/>
                <w:bottom w:val="nil"/>
                <w:right w:val="nil"/>
                <w:between w:val="nil"/>
              </w:pBdr>
            </w:pPr>
            <w:r>
              <w:t>Virtual EASI Fair</w:t>
            </w:r>
          </w:p>
        </w:tc>
        <w:tc>
          <w:tcPr>
            <w:tcW w:w="4110" w:type="dxa"/>
            <w:shd w:val="clear" w:color="auto" w:fill="auto"/>
            <w:tcMar>
              <w:top w:w="100" w:type="dxa"/>
              <w:left w:w="100" w:type="dxa"/>
              <w:bottom w:w="100" w:type="dxa"/>
              <w:right w:w="100" w:type="dxa"/>
            </w:tcMar>
          </w:tcPr>
          <w:p w14:paraId="67ECA949" w14:textId="77777777" w:rsidR="007925A3" w:rsidRDefault="00BF5C06">
            <w:pPr>
              <w:widowControl w:val="0"/>
              <w:pBdr>
                <w:top w:val="nil"/>
                <w:left w:val="nil"/>
                <w:bottom w:val="nil"/>
                <w:right w:val="nil"/>
                <w:between w:val="nil"/>
              </w:pBdr>
              <w:jc w:val="center"/>
            </w:pPr>
            <w:r>
              <w:t>October 19, 2023- 1:00-2:30pm</w:t>
            </w:r>
          </w:p>
        </w:tc>
      </w:tr>
      <w:tr w:rsidR="007925A3" w14:paraId="67ECA94D" w14:textId="77777777" w:rsidTr="00132E83">
        <w:tc>
          <w:tcPr>
            <w:tcW w:w="6690" w:type="dxa"/>
            <w:shd w:val="clear" w:color="auto" w:fill="auto"/>
            <w:tcMar>
              <w:top w:w="100" w:type="dxa"/>
              <w:left w:w="100" w:type="dxa"/>
              <w:bottom w:w="100" w:type="dxa"/>
              <w:right w:w="100" w:type="dxa"/>
            </w:tcMar>
          </w:tcPr>
          <w:p w14:paraId="67ECA94B" w14:textId="77777777" w:rsidR="007925A3" w:rsidRDefault="00BF5C06">
            <w:pPr>
              <w:widowControl w:val="0"/>
              <w:pBdr>
                <w:top w:val="nil"/>
                <w:left w:val="nil"/>
                <w:bottom w:val="nil"/>
                <w:right w:val="nil"/>
                <w:between w:val="nil"/>
              </w:pBdr>
            </w:pPr>
            <w:r>
              <w:t>EASI Office Hours- In depth support and details for those interested in COMTSS and District Designed and Led routes</w:t>
            </w:r>
          </w:p>
        </w:tc>
        <w:tc>
          <w:tcPr>
            <w:tcW w:w="4110" w:type="dxa"/>
            <w:shd w:val="clear" w:color="auto" w:fill="auto"/>
            <w:tcMar>
              <w:top w:w="100" w:type="dxa"/>
              <w:left w:w="100" w:type="dxa"/>
              <w:bottom w:w="100" w:type="dxa"/>
              <w:right w:w="100" w:type="dxa"/>
            </w:tcMar>
          </w:tcPr>
          <w:p w14:paraId="67ECA94C" w14:textId="77777777" w:rsidR="007925A3" w:rsidRDefault="00BF5C06">
            <w:pPr>
              <w:widowControl w:val="0"/>
              <w:pBdr>
                <w:top w:val="nil"/>
                <w:left w:val="nil"/>
                <w:bottom w:val="nil"/>
                <w:right w:val="nil"/>
                <w:between w:val="nil"/>
              </w:pBdr>
              <w:jc w:val="center"/>
            </w:pPr>
            <w:r>
              <w:t>November 2023</w:t>
            </w:r>
          </w:p>
        </w:tc>
      </w:tr>
      <w:tr w:rsidR="007925A3" w14:paraId="67ECA950" w14:textId="77777777" w:rsidTr="00132E83">
        <w:tc>
          <w:tcPr>
            <w:tcW w:w="6690" w:type="dxa"/>
            <w:shd w:val="clear" w:color="auto" w:fill="auto"/>
            <w:tcMar>
              <w:top w:w="100" w:type="dxa"/>
              <w:left w:w="100" w:type="dxa"/>
              <w:bottom w:w="100" w:type="dxa"/>
              <w:right w:w="100" w:type="dxa"/>
            </w:tcMar>
          </w:tcPr>
          <w:p w14:paraId="67ECA94E" w14:textId="77777777" w:rsidR="007925A3" w:rsidRDefault="00BF5C06">
            <w:pPr>
              <w:widowControl w:val="0"/>
              <w:pBdr>
                <w:top w:val="nil"/>
                <w:left w:val="nil"/>
                <w:bottom w:val="nil"/>
                <w:right w:val="nil"/>
                <w:between w:val="nil"/>
              </w:pBdr>
            </w:pPr>
            <w:r>
              <w:t>EASI Grant Application Closes</w:t>
            </w:r>
          </w:p>
        </w:tc>
        <w:tc>
          <w:tcPr>
            <w:tcW w:w="4110" w:type="dxa"/>
            <w:shd w:val="clear" w:color="auto" w:fill="auto"/>
            <w:tcMar>
              <w:top w:w="100" w:type="dxa"/>
              <w:left w:w="100" w:type="dxa"/>
              <w:bottom w:w="100" w:type="dxa"/>
              <w:right w:w="100" w:type="dxa"/>
            </w:tcMar>
          </w:tcPr>
          <w:p w14:paraId="67ECA94F" w14:textId="77777777" w:rsidR="007925A3" w:rsidRPr="00E0147A" w:rsidRDefault="00BF5C06">
            <w:pPr>
              <w:widowControl w:val="0"/>
              <w:pBdr>
                <w:top w:val="nil"/>
                <w:left w:val="nil"/>
                <w:bottom w:val="nil"/>
                <w:right w:val="nil"/>
                <w:between w:val="nil"/>
              </w:pBdr>
              <w:jc w:val="center"/>
              <w:rPr>
                <w:b/>
                <w:color w:val="FF0000"/>
              </w:rPr>
            </w:pPr>
            <w:r w:rsidRPr="00E0147A">
              <w:rPr>
                <w:b/>
                <w:color w:val="FF0000"/>
              </w:rPr>
              <w:t>December 6, 2023 at 11:59pm</w:t>
            </w:r>
          </w:p>
        </w:tc>
      </w:tr>
      <w:tr w:rsidR="007925A3" w14:paraId="67ECA953" w14:textId="77777777" w:rsidTr="00132E83">
        <w:tc>
          <w:tcPr>
            <w:tcW w:w="6690" w:type="dxa"/>
            <w:shd w:val="clear" w:color="auto" w:fill="auto"/>
            <w:tcMar>
              <w:top w:w="100" w:type="dxa"/>
              <w:left w:w="100" w:type="dxa"/>
              <w:bottom w:w="100" w:type="dxa"/>
              <w:right w:w="100" w:type="dxa"/>
            </w:tcMar>
          </w:tcPr>
          <w:p w14:paraId="67ECA951" w14:textId="77777777" w:rsidR="007925A3" w:rsidRDefault="00BF5C06">
            <w:pPr>
              <w:widowControl w:val="0"/>
              <w:pBdr>
                <w:top w:val="nil"/>
                <w:left w:val="nil"/>
                <w:bottom w:val="nil"/>
                <w:right w:val="nil"/>
                <w:between w:val="nil"/>
              </w:pBdr>
            </w:pPr>
            <w:r>
              <w:t>EASI Grant- Review period</w:t>
            </w:r>
          </w:p>
        </w:tc>
        <w:tc>
          <w:tcPr>
            <w:tcW w:w="4110" w:type="dxa"/>
            <w:shd w:val="clear" w:color="auto" w:fill="auto"/>
            <w:tcMar>
              <w:top w:w="100" w:type="dxa"/>
              <w:left w:w="100" w:type="dxa"/>
              <w:bottom w:w="100" w:type="dxa"/>
              <w:right w:w="100" w:type="dxa"/>
            </w:tcMar>
          </w:tcPr>
          <w:p w14:paraId="67ECA952" w14:textId="77777777" w:rsidR="007925A3" w:rsidRDefault="00BF5C06">
            <w:pPr>
              <w:widowControl w:val="0"/>
              <w:pBdr>
                <w:top w:val="nil"/>
                <w:left w:val="nil"/>
                <w:bottom w:val="nil"/>
                <w:right w:val="nil"/>
                <w:between w:val="nil"/>
              </w:pBdr>
              <w:jc w:val="center"/>
            </w:pPr>
            <w:r>
              <w:t>December-January</w:t>
            </w:r>
          </w:p>
        </w:tc>
      </w:tr>
      <w:tr w:rsidR="007925A3" w14:paraId="67ECA956" w14:textId="77777777" w:rsidTr="00132E83">
        <w:tc>
          <w:tcPr>
            <w:tcW w:w="6690" w:type="dxa"/>
            <w:shd w:val="clear" w:color="auto" w:fill="auto"/>
            <w:tcMar>
              <w:top w:w="100" w:type="dxa"/>
              <w:left w:w="100" w:type="dxa"/>
              <w:bottom w:w="100" w:type="dxa"/>
              <w:right w:w="100" w:type="dxa"/>
            </w:tcMar>
          </w:tcPr>
          <w:p w14:paraId="67ECA954" w14:textId="77777777" w:rsidR="007925A3" w:rsidRDefault="00BF5C06">
            <w:pPr>
              <w:widowControl w:val="0"/>
              <w:pBdr>
                <w:top w:val="nil"/>
                <w:left w:val="nil"/>
                <w:bottom w:val="nil"/>
                <w:right w:val="nil"/>
                <w:between w:val="nil"/>
              </w:pBdr>
            </w:pPr>
            <w:r>
              <w:t>Award notifications</w:t>
            </w:r>
          </w:p>
        </w:tc>
        <w:tc>
          <w:tcPr>
            <w:tcW w:w="4110" w:type="dxa"/>
            <w:shd w:val="clear" w:color="auto" w:fill="auto"/>
            <w:tcMar>
              <w:top w:w="100" w:type="dxa"/>
              <w:left w:w="100" w:type="dxa"/>
              <w:bottom w:w="100" w:type="dxa"/>
              <w:right w:w="100" w:type="dxa"/>
            </w:tcMar>
          </w:tcPr>
          <w:p w14:paraId="67ECA955" w14:textId="77777777" w:rsidR="007925A3" w:rsidRDefault="00BF5C06">
            <w:pPr>
              <w:widowControl w:val="0"/>
              <w:pBdr>
                <w:top w:val="nil"/>
                <w:left w:val="nil"/>
                <w:bottom w:val="nil"/>
                <w:right w:val="nil"/>
                <w:between w:val="nil"/>
              </w:pBdr>
              <w:jc w:val="center"/>
            </w:pPr>
            <w:r>
              <w:t>no later than January 31, 2024</w:t>
            </w:r>
          </w:p>
        </w:tc>
      </w:tr>
      <w:tr w:rsidR="007925A3" w14:paraId="67ECA959" w14:textId="77777777" w:rsidTr="00132E83">
        <w:tc>
          <w:tcPr>
            <w:tcW w:w="6690" w:type="dxa"/>
            <w:shd w:val="clear" w:color="auto" w:fill="auto"/>
            <w:tcMar>
              <w:top w:w="100" w:type="dxa"/>
              <w:left w:w="100" w:type="dxa"/>
              <w:bottom w:w="100" w:type="dxa"/>
              <w:right w:w="100" w:type="dxa"/>
            </w:tcMar>
          </w:tcPr>
          <w:p w14:paraId="67ECA957" w14:textId="77777777" w:rsidR="007925A3" w:rsidRDefault="00BF5C06">
            <w:pPr>
              <w:widowControl w:val="0"/>
              <w:pBdr>
                <w:top w:val="nil"/>
                <w:left w:val="nil"/>
                <w:bottom w:val="nil"/>
                <w:right w:val="nil"/>
                <w:between w:val="nil"/>
              </w:pBdr>
            </w:pPr>
            <w:r>
              <w:t>Post-award- Grant Management training and overview</w:t>
            </w:r>
          </w:p>
        </w:tc>
        <w:tc>
          <w:tcPr>
            <w:tcW w:w="4110" w:type="dxa"/>
            <w:shd w:val="clear" w:color="auto" w:fill="auto"/>
            <w:tcMar>
              <w:top w:w="100" w:type="dxa"/>
              <w:left w:w="100" w:type="dxa"/>
              <w:bottom w:w="100" w:type="dxa"/>
              <w:right w:w="100" w:type="dxa"/>
            </w:tcMar>
          </w:tcPr>
          <w:p w14:paraId="67ECA958" w14:textId="77777777" w:rsidR="007925A3" w:rsidRDefault="00BF5C06">
            <w:pPr>
              <w:widowControl w:val="0"/>
              <w:pBdr>
                <w:top w:val="nil"/>
                <w:left w:val="nil"/>
                <w:bottom w:val="nil"/>
                <w:right w:val="nil"/>
                <w:between w:val="nil"/>
              </w:pBdr>
              <w:jc w:val="center"/>
            </w:pPr>
            <w:r>
              <w:t>February 2024</w:t>
            </w:r>
          </w:p>
        </w:tc>
      </w:tr>
    </w:tbl>
    <w:p w14:paraId="67ECA95A" w14:textId="77777777" w:rsidR="007925A3" w:rsidRDefault="007925A3"/>
    <w:p w14:paraId="67ECA95B" w14:textId="77777777" w:rsidR="007925A3" w:rsidRDefault="00BF5C06">
      <w:pPr>
        <w:pStyle w:val="Heading2"/>
        <w:spacing w:before="0"/>
        <w:rPr>
          <w:b w:val="0"/>
          <w:color w:val="000000"/>
          <w:sz w:val="24"/>
          <w:szCs w:val="24"/>
        </w:rPr>
      </w:pPr>
      <w:r>
        <w:rPr>
          <w:color w:val="000000"/>
        </w:rPr>
        <w:t>Key Changes to EASI 2023</w:t>
      </w:r>
    </w:p>
    <w:p w14:paraId="67ECA95C" w14:textId="77777777" w:rsidR="007925A3" w:rsidRDefault="00BF5C06">
      <w:pPr>
        <w:pStyle w:val="Heading3"/>
        <w:rPr>
          <w:color w:val="000000"/>
        </w:rPr>
      </w:pPr>
      <w:bookmarkStart w:id="0" w:name="_heading=h.aml87xkufybj" w:colFirst="0" w:colLast="0"/>
      <w:bookmarkEnd w:id="0"/>
      <w:r>
        <w:rPr>
          <w:color w:val="000000"/>
        </w:rPr>
        <w:t>After each grant cycle, CDE gathers feedback from districts, schools, and staff on ways to improve the offerings and approach of the EASI grant. The table below highlights the key changes made to EASI for the 2023 grant cycle.</w:t>
      </w:r>
    </w:p>
    <w:p w14:paraId="67ECA95D" w14:textId="77777777" w:rsidR="007925A3" w:rsidRDefault="007925A3"/>
    <w:tbl>
      <w:tblPr>
        <w:tblStyle w:val="a0"/>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75"/>
        <w:gridCol w:w="7620"/>
      </w:tblGrid>
      <w:tr w:rsidR="007925A3" w14:paraId="67ECA960" w14:textId="77777777" w:rsidTr="00132E83">
        <w:trPr>
          <w:tblHeader/>
        </w:trPr>
        <w:tc>
          <w:tcPr>
            <w:tcW w:w="3075" w:type="dxa"/>
            <w:shd w:val="clear" w:color="auto" w:fill="D9D9D9"/>
            <w:tcMar>
              <w:top w:w="100" w:type="dxa"/>
              <w:left w:w="100" w:type="dxa"/>
              <w:bottom w:w="100" w:type="dxa"/>
              <w:right w:w="100" w:type="dxa"/>
            </w:tcMar>
          </w:tcPr>
          <w:p w14:paraId="67ECA95E" w14:textId="77777777" w:rsidR="007925A3" w:rsidRDefault="00BF5C06">
            <w:pPr>
              <w:widowControl w:val="0"/>
              <w:pBdr>
                <w:top w:val="nil"/>
                <w:left w:val="nil"/>
                <w:bottom w:val="nil"/>
                <w:right w:val="nil"/>
                <w:between w:val="nil"/>
              </w:pBdr>
              <w:jc w:val="center"/>
              <w:rPr>
                <w:b/>
              </w:rPr>
            </w:pPr>
            <w:r>
              <w:rPr>
                <w:b/>
              </w:rPr>
              <w:t>Key Change</w:t>
            </w:r>
          </w:p>
        </w:tc>
        <w:tc>
          <w:tcPr>
            <w:tcW w:w="7620" w:type="dxa"/>
            <w:shd w:val="clear" w:color="auto" w:fill="D9D9D9"/>
            <w:tcMar>
              <w:top w:w="100" w:type="dxa"/>
              <w:left w:w="100" w:type="dxa"/>
              <w:bottom w:w="100" w:type="dxa"/>
              <w:right w:w="100" w:type="dxa"/>
            </w:tcMar>
          </w:tcPr>
          <w:p w14:paraId="67ECA95F" w14:textId="77777777" w:rsidR="007925A3" w:rsidRDefault="00BF5C06">
            <w:pPr>
              <w:widowControl w:val="0"/>
              <w:pBdr>
                <w:top w:val="nil"/>
                <w:left w:val="nil"/>
                <w:bottom w:val="nil"/>
                <w:right w:val="nil"/>
                <w:between w:val="nil"/>
              </w:pBdr>
              <w:jc w:val="center"/>
              <w:rPr>
                <w:b/>
              </w:rPr>
            </w:pPr>
            <w:r>
              <w:rPr>
                <w:b/>
              </w:rPr>
              <w:t>Description &amp; Details</w:t>
            </w:r>
          </w:p>
        </w:tc>
      </w:tr>
      <w:tr w:rsidR="007925A3" w14:paraId="67ECA967" w14:textId="77777777" w:rsidTr="00132E83">
        <w:trPr>
          <w:trHeight w:val="440"/>
        </w:trPr>
        <w:tc>
          <w:tcPr>
            <w:tcW w:w="3075" w:type="dxa"/>
            <w:shd w:val="clear" w:color="auto" w:fill="auto"/>
            <w:tcMar>
              <w:top w:w="100" w:type="dxa"/>
              <w:left w:w="100" w:type="dxa"/>
              <w:bottom w:w="100" w:type="dxa"/>
              <w:right w:w="100" w:type="dxa"/>
            </w:tcMar>
            <w:vAlign w:val="center"/>
          </w:tcPr>
          <w:p w14:paraId="67ECA961" w14:textId="77777777" w:rsidR="007925A3" w:rsidRDefault="00BF5C06">
            <w:pPr>
              <w:widowControl w:val="0"/>
              <w:pBdr>
                <w:top w:val="nil"/>
                <w:left w:val="nil"/>
                <w:bottom w:val="nil"/>
                <w:right w:val="nil"/>
                <w:between w:val="nil"/>
              </w:pBdr>
              <w:jc w:val="center"/>
              <w:rPr>
                <w:b/>
                <w:color w:val="38761D"/>
              </w:rPr>
            </w:pPr>
            <w:r>
              <w:rPr>
                <w:b/>
                <w:color w:val="38761D"/>
              </w:rPr>
              <w:t>Change</w:t>
            </w:r>
          </w:p>
          <w:p w14:paraId="67ECA962" w14:textId="77777777" w:rsidR="007925A3" w:rsidRDefault="007925A3">
            <w:pPr>
              <w:widowControl w:val="0"/>
              <w:pBdr>
                <w:top w:val="nil"/>
                <w:left w:val="nil"/>
                <w:bottom w:val="nil"/>
                <w:right w:val="nil"/>
                <w:between w:val="nil"/>
              </w:pBdr>
              <w:jc w:val="center"/>
              <w:rPr>
                <w:b/>
                <w:color w:val="38761D"/>
              </w:rPr>
            </w:pPr>
          </w:p>
          <w:p w14:paraId="67ECA963" w14:textId="77777777" w:rsidR="007925A3" w:rsidRDefault="00BF5C06">
            <w:pPr>
              <w:widowControl w:val="0"/>
              <w:pBdr>
                <w:top w:val="nil"/>
                <w:left w:val="nil"/>
                <w:bottom w:val="nil"/>
                <w:right w:val="nil"/>
                <w:between w:val="nil"/>
              </w:pBdr>
              <w:jc w:val="center"/>
              <w:rPr>
                <w:b/>
              </w:rPr>
            </w:pPr>
            <w:r>
              <w:rPr>
                <w:b/>
              </w:rPr>
              <w:t>Increased &amp; Standardized Funding</w:t>
            </w:r>
          </w:p>
        </w:tc>
        <w:tc>
          <w:tcPr>
            <w:tcW w:w="7620" w:type="dxa"/>
            <w:shd w:val="clear" w:color="auto" w:fill="auto"/>
            <w:tcMar>
              <w:top w:w="100" w:type="dxa"/>
              <w:left w:w="100" w:type="dxa"/>
              <w:bottom w:w="100" w:type="dxa"/>
              <w:right w:w="100" w:type="dxa"/>
            </w:tcMar>
            <w:vAlign w:val="center"/>
          </w:tcPr>
          <w:p w14:paraId="67ECA964" w14:textId="77777777" w:rsidR="007925A3" w:rsidRDefault="00BF5C06">
            <w:pPr>
              <w:widowControl w:val="0"/>
              <w:numPr>
                <w:ilvl w:val="0"/>
                <w:numId w:val="5"/>
              </w:numPr>
              <w:pBdr>
                <w:top w:val="nil"/>
                <w:left w:val="nil"/>
                <w:bottom w:val="nil"/>
                <w:right w:val="nil"/>
                <w:between w:val="nil"/>
              </w:pBdr>
            </w:pPr>
            <w:r>
              <w:t>Increased awards for several routes and limited grants to 2.5 years</w:t>
            </w:r>
          </w:p>
          <w:p w14:paraId="67ECA965" w14:textId="7807D607" w:rsidR="007925A3" w:rsidRDefault="00BF5C06">
            <w:pPr>
              <w:widowControl w:val="0"/>
              <w:numPr>
                <w:ilvl w:val="0"/>
                <w:numId w:val="5"/>
              </w:numPr>
              <w:pBdr>
                <w:top w:val="nil"/>
                <w:left w:val="nil"/>
                <w:bottom w:val="nil"/>
                <w:right w:val="nil"/>
                <w:between w:val="nil"/>
              </w:pBdr>
            </w:pPr>
            <w:r>
              <w:t>Added a limit to total LEA awards for District Designed and Led grants up to $320,000</w:t>
            </w:r>
            <w:r w:rsidR="003334DD">
              <w:t xml:space="preserve"> per year</w:t>
            </w:r>
          </w:p>
          <w:p w14:paraId="67ECA966" w14:textId="77777777" w:rsidR="007925A3" w:rsidRDefault="00BF5C06">
            <w:pPr>
              <w:widowControl w:val="0"/>
              <w:numPr>
                <w:ilvl w:val="0"/>
                <w:numId w:val="5"/>
              </w:numPr>
              <w:pBdr>
                <w:top w:val="nil"/>
                <w:left w:val="nil"/>
                <w:bottom w:val="nil"/>
                <w:right w:val="nil"/>
                <w:between w:val="nil"/>
              </w:pBdr>
            </w:pPr>
            <w:r>
              <w:t xml:space="preserve">For more information, please see the </w:t>
            </w:r>
            <w:hyperlink r:id="rId8">
              <w:r>
                <w:rPr>
                  <w:color w:val="1155CC"/>
                  <w:u w:val="single"/>
                </w:rPr>
                <w:t>EASI Menu of Supports</w:t>
              </w:r>
            </w:hyperlink>
            <w:r>
              <w:t xml:space="preserve"> for new route award amounts</w:t>
            </w:r>
          </w:p>
        </w:tc>
      </w:tr>
      <w:tr w:rsidR="007925A3" w14:paraId="67ECA96E" w14:textId="77777777" w:rsidTr="00132E83">
        <w:trPr>
          <w:trHeight w:val="1777"/>
        </w:trPr>
        <w:tc>
          <w:tcPr>
            <w:tcW w:w="3075" w:type="dxa"/>
            <w:shd w:val="clear" w:color="auto" w:fill="auto"/>
            <w:tcMar>
              <w:top w:w="100" w:type="dxa"/>
              <w:left w:w="100" w:type="dxa"/>
              <w:bottom w:w="100" w:type="dxa"/>
              <w:right w:w="100" w:type="dxa"/>
            </w:tcMar>
            <w:vAlign w:val="center"/>
          </w:tcPr>
          <w:p w14:paraId="67ECA968" w14:textId="77777777" w:rsidR="007925A3" w:rsidRDefault="00BF5C06">
            <w:pPr>
              <w:widowControl w:val="0"/>
              <w:jc w:val="center"/>
              <w:rPr>
                <w:b/>
                <w:color w:val="38761D"/>
              </w:rPr>
            </w:pPr>
            <w:r>
              <w:rPr>
                <w:b/>
                <w:color w:val="38761D"/>
              </w:rPr>
              <w:t>Change</w:t>
            </w:r>
          </w:p>
          <w:p w14:paraId="67ECA969" w14:textId="77777777" w:rsidR="007925A3" w:rsidRDefault="007925A3">
            <w:pPr>
              <w:widowControl w:val="0"/>
              <w:jc w:val="center"/>
              <w:rPr>
                <w:b/>
                <w:color w:val="38761D"/>
              </w:rPr>
            </w:pPr>
          </w:p>
          <w:p w14:paraId="67ECA96A" w14:textId="77777777" w:rsidR="007925A3" w:rsidRDefault="00BF5C06">
            <w:pPr>
              <w:widowControl w:val="0"/>
              <w:jc w:val="center"/>
              <w:rPr>
                <w:b/>
              </w:rPr>
            </w:pPr>
            <w:r>
              <w:rPr>
                <w:b/>
              </w:rPr>
              <w:t>EASI 2023 Eligibility &amp; Prioritization</w:t>
            </w:r>
          </w:p>
        </w:tc>
        <w:tc>
          <w:tcPr>
            <w:tcW w:w="7620" w:type="dxa"/>
            <w:shd w:val="clear" w:color="auto" w:fill="auto"/>
            <w:tcMar>
              <w:top w:w="100" w:type="dxa"/>
              <w:left w:w="100" w:type="dxa"/>
              <w:bottom w:w="100" w:type="dxa"/>
              <w:right w:w="100" w:type="dxa"/>
            </w:tcMar>
            <w:vAlign w:val="center"/>
          </w:tcPr>
          <w:p w14:paraId="67ECA96B" w14:textId="77777777" w:rsidR="007925A3" w:rsidRDefault="00BF5C06">
            <w:pPr>
              <w:widowControl w:val="0"/>
              <w:numPr>
                <w:ilvl w:val="0"/>
                <w:numId w:val="1"/>
              </w:numPr>
            </w:pPr>
            <w:r>
              <w:t>For 2023, state accountability plan types of “Improvement” are ineligible for EASI routes and services.</w:t>
            </w:r>
          </w:p>
          <w:p w14:paraId="67ECA96C" w14:textId="77777777" w:rsidR="007925A3" w:rsidRDefault="00BF5C06">
            <w:pPr>
              <w:widowControl w:val="0"/>
              <w:numPr>
                <w:ilvl w:val="0"/>
                <w:numId w:val="1"/>
              </w:numPr>
            </w:pPr>
            <w:r>
              <w:t>Bonus points have been added for schools serving grade 12 and schools and districts who have not previously received an EASI grant.</w:t>
            </w:r>
          </w:p>
          <w:p w14:paraId="67ECA96D" w14:textId="77777777" w:rsidR="007925A3" w:rsidRDefault="00BF5C06">
            <w:pPr>
              <w:widowControl w:val="0"/>
              <w:numPr>
                <w:ilvl w:val="0"/>
                <w:numId w:val="1"/>
              </w:numPr>
            </w:pPr>
            <w:r>
              <w:t xml:space="preserve"> For more information, please see </w:t>
            </w:r>
            <w:hyperlink r:id="rId9">
              <w:r>
                <w:rPr>
                  <w:color w:val="1155CC"/>
                  <w:u w:val="single"/>
                </w:rPr>
                <w:t>EASI 2023 Eligibility &amp; Prioritization</w:t>
              </w:r>
            </w:hyperlink>
            <w:r>
              <w:t>.</w:t>
            </w:r>
          </w:p>
        </w:tc>
      </w:tr>
      <w:tr w:rsidR="007925A3" w14:paraId="67ECA975" w14:textId="77777777" w:rsidTr="00132E83">
        <w:trPr>
          <w:trHeight w:val="440"/>
        </w:trPr>
        <w:tc>
          <w:tcPr>
            <w:tcW w:w="3075" w:type="dxa"/>
            <w:shd w:val="clear" w:color="auto" w:fill="auto"/>
            <w:tcMar>
              <w:top w:w="100" w:type="dxa"/>
              <w:left w:w="100" w:type="dxa"/>
              <w:bottom w:w="100" w:type="dxa"/>
              <w:right w:w="100" w:type="dxa"/>
            </w:tcMar>
            <w:vAlign w:val="center"/>
          </w:tcPr>
          <w:p w14:paraId="67ECA96F" w14:textId="77777777" w:rsidR="007925A3" w:rsidRDefault="00BF5C06">
            <w:pPr>
              <w:widowControl w:val="0"/>
              <w:jc w:val="center"/>
              <w:rPr>
                <w:b/>
                <w:color w:val="38761D"/>
              </w:rPr>
            </w:pPr>
            <w:r>
              <w:rPr>
                <w:b/>
                <w:color w:val="38761D"/>
              </w:rPr>
              <w:lastRenderedPageBreak/>
              <w:t>Change</w:t>
            </w:r>
          </w:p>
          <w:p w14:paraId="67ECA970" w14:textId="77777777" w:rsidR="007925A3" w:rsidRDefault="007925A3">
            <w:pPr>
              <w:widowControl w:val="0"/>
              <w:jc w:val="center"/>
              <w:rPr>
                <w:b/>
                <w:color w:val="38761D"/>
              </w:rPr>
            </w:pPr>
          </w:p>
          <w:p w14:paraId="67ECA971" w14:textId="77777777" w:rsidR="007925A3" w:rsidRDefault="00BF5C06">
            <w:pPr>
              <w:widowControl w:val="0"/>
              <w:pBdr>
                <w:top w:val="nil"/>
                <w:left w:val="nil"/>
                <w:bottom w:val="nil"/>
                <w:right w:val="nil"/>
                <w:between w:val="nil"/>
              </w:pBdr>
              <w:jc w:val="center"/>
              <w:rPr>
                <w:b/>
              </w:rPr>
            </w:pPr>
            <w:r>
              <w:rPr>
                <w:b/>
              </w:rPr>
              <w:t>Accountability Pathways</w:t>
            </w:r>
          </w:p>
        </w:tc>
        <w:tc>
          <w:tcPr>
            <w:tcW w:w="7620" w:type="dxa"/>
            <w:shd w:val="clear" w:color="auto" w:fill="auto"/>
            <w:tcMar>
              <w:top w:w="100" w:type="dxa"/>
              <w:left w:w="100" w:type="dxa"/>
              <w:bottom w:w="100" w:type="dxa"/>
              <w:right w:w="100" w:type="dxa"/>
            </w:tcMar>
            <w:vAlign w:val="center"/>
          </w:tcPr>
          <w:p w14:paraId="67ECA972" w14:textId="4BBCE34E" w:rsidR="007925A3" w:rsidRDefault="00BF5C06">
            <w:pPr>
              <w:widowControl w:val="0"/>
              <w:numPr>
                <w:ilvl w:val="0"/>
                <w:numId w:val="3"/>
              </w:numPr>
              <w:pBdr>
                <w:top w:val="nil"/>
                <w:left w:val="nil"/>
                <w:bottom w:val="nil"/>
                <w:right w:val="nil"/>
                <w:between w:val="nil"/>
              </w:pBdr>
            </w:pPr>
            <w:r>
              <w:t>Eligibility shift- Focus on districts and schools in Year 4 or 5 of Priority Improvement</w:t>
            </w:r>
            <w:r w:rsidR="004D1E5D">
              <w:t xml:space="preserve">, </w:t>
            </w:r>
            <w:r>
              <w:t>Turnaround</w:t>
            </w:r>
            <w:r w:rsidR="004D1E5D">
              <w:t>, On Watch</w:t>
            </w:r>
            <w:r>
              <w:t xml:space="preserve"> or under directed action</w:t>
            </w:r>
          </w:p>
          <w:p w14:paraId="67ECA973" w14:textId="77777777" w:rsidR="007925A3" w:rsidRDefault="00BF5C06">
            <w:pPr>
              <w:widowControl w:val="0"/>
              <w:numPr>
                <w:ilvl w:val="0"/>
                <w:numId w:val="3"/>
              </w:numPr>
              <w:pBdr>
                <w:top w:val="nil"/>
                <w:left w:val="nil"/>
                <w:bottom w:val="nil"/>
                <w:right w:val="nil"/>
                <w:between w:val="nil"/>
              </w:pBdr>
            </w:pPr>
            <w:r>
              <w:t>Funding shifted to 2.5 years with $100,000 in the first 18 months followed by another year of funding for $100,000 if the LEA or school advances on the clock</w:t>
            </w:r>
          </w:p>
          <w:p w14:paraId="67ECA974" w14:textId="68B31A95" w:rsidR="007925A3" w:rsidRDefault="00BF5C06">
            <w:pPr>
              <w:widowControl w:val="0"/>
              <w:numPr>
                <w:ilvl w:val="0"/>
                <w:numId w:val="3"/>
              </w:numPr>
              <w:pBdr>
                <w:top w:val="nil"/>
                <w:left w:val="nil"/>
                <w:bottom w:val="nil"/>
                <w:right w:val="nil"/>
                <w:between w:val="nil"/>
              </w:pBdr>
            </w:pPr>
            <w:r>
              <w:t xml:space="preserve">For more information about Accountability Pathway, please see the </w:t>
            </w:r>
            <w:hyperlink r:id="rId10">
              <w:r>
                <w:rPr>
                  <w:color w:val="1155CC"/>
                  <w:u w:val="single"/>
                </w:rPr>
                <w:t>Offered Services- Accountability Pathways</w:t>
              </w:r>
            </w:hyperlink>
            <w:r>
              <w:t xml:space="preserve">. </w:t>
            </w:r>
          </w:p>
        </w:tc>
      </w:tr>
      <w:tr w:rsidR="007925A3" w14:paraId="67ECA97B" w14:textId="77777777" w:rsidTr="00132E83">
        <w:trPr>
          <w:trHeight w:val="440"/>
        </w:trPr>
        <w:tc>
          <w:tcPr>
            <w:tcW w:w="3075" w:type="dxa"/>
            <w:shd w:val="clear" w:color="auto" w:fill="auto"/>
            <w:tcMar>
              <w:top w:w="100" w:type="dxa"/>
              <w:left w:w="100" w:type="dxa"/>
              <w:bottom w:w="100" w:type="dxa"/>
              <w:right w:w="100" w:type="dxa"/>
            </w:tcMar>
            <w:vAlign w:val="center"/>
          </w:tcPr>
          <w:p w14:paraId="67ECA976" w14:textId="77777777" w:rsidR="007925A3" w:rsidRDefault="00BF5C06">
            <w:pPr>
              <w:widowControl w:val="0"/>
              <w:jc w:val="center"/>
              <w:rPr>
                <w:b/>
                <w:color w:val="073763"/>
              </w:rPr>
            </w:pPr>
            <w:r>
              <w:rPr>
                <w:b/>
                <w:color w:val="38761D"/>
              </w:rPr>
              <w:t>Change</w:t>
            </w:r>
          </w:p>
          <w:p w14:paraId="67ECA977" w14:textId="77777777" w:rsidR="007925A3" w:rsidRDefault="007925A3">
            <w:pPr>
              <w:widowControl w:val="0"/>
              <w:jc w:val="center"/>
              <w:rPr>
                <w:b/>
                <w:color w:val="073763"/>
              </w:rPr>
            </w:pPr>
          </w:p>
          <w:p w14:paraId="67ECA978" w14:textId="77777777" w:rsidR="007925A3" w:rsidRDefault="00BF5C06">
            <w:pPr>
              <w:widowControl w:val="0"/>
              <w:jc w:val="center"/>
              <w:rPr>
                <w:b/>
                <w:color w:val="38761D"/>
              </w:rPr>
            </w:pPr>
            <w:r>
              <w:rPr>
                <w:b/>
              </w:rPr>
              <w:t>CDE Advisory List of Providers</w:t>
            </w:r>
          </w:p>
        </w:tc>
        <w:tc>
          <w:tcPr>
            <w:tcW w:w="7620" w:type="dxa"/>
            <w:shd w:val="clear" w:color="auto" w:fill="auto"/>
            <w:tcMar>
              <w:top w:w="100" w:type="dxa"/>
              <w:left w:w="100" w:type="dxa"/>
              <w:bottom w:w="100" w:type="dxa"/>
              <w:right w:w="100" w:type="dxa"/>
            </w:tcMar>
            <w:vAlign w:val="center"/>
          </w:tcPr>
          <w:p w14:paraId="67ECA979" w14:textId="77777777" w:rsidR="007925A3" w:rsidRDefault="00BF5C06">
            <w:pPr>
              <w:widowControl w:val="0"/>
              <w:numPr>
                <w:ilvl w:val="0"/>
                <w:numId w:val="6"/>
              </w:numPr>
              <w:pBdr>
                <w:top w:val="nil"/>
                <w:left w:val="nil"/>
                <w:bottom w:val="nil"/>
                <w:right w:val="nil"/>
                <w:between w:val="nil"/>
              </w:pBdr>
            </w:pPr>
            <w:r>
              <w:t xml:space="preserve">Updated list of approved providers is now available at </w:t>
            </w:r>
            <w:hyperlink r:id="rId11">
              <w:r>
                <w:rPr>
                  <w:color w:val="1155CC"/>
                  <w:u w:val="single"/>
                </w:rPr>
                <w:t>CDE Advisory List of Providers</w:t>
              </w:r>
            </w:hyperlink>
            <w:r>
              <w:t xml:space="preserve"> website </w:t>
            </w:r>
          </w:p>
          <w:p w14:paraId="67ECA97A" w14:textId="77777777" w:rsidR="007925A3" w:rsidRDefault="00BF5C06">
            <w:pPr>
              <w:widowControl w:val="0"/>
              <w:numPr>
                <w:ilvl w:val="0"/>
                <w:numId w:val="6"/>
              </w:numPr>
              <w:pBdr>
                <w:top w:val="nil"/>
                <w:left w:val="nil"/>
                <w:bottom w:val="nil"/>
                <w:right w:val="nil"/>
                <w:between w:val="nil"/>
              </w:pBdr>
            </w:pPr>
            <w:r>
              <w:t>Approved providers were given the option to identify expertise areas to help give schools and districts additional information. In October 2023, the CDE Advisory List of Providers will be updated to include field-validated expertise areas for providers.</w:t>
            </w:r>
          </w:p>
        </w:tc>
      </w:tr>
      <w:tr w:rsidR="007925A3" w14:paraId="67ECA983" w14:textId="77777777" w:rsidTr="00132E83">
        <w:trPr>
          <w:trHeight w:val="440"/>
        </w:trPr>
        <w:tc>
          <w:tcPr>
            <w:tcW w:w="3075" w:type="dxa"/>
            <w:shd w:val="clear" w:color="auto" w:fill="auto"/>
            <w:tcMar>
              <w:top w:w="100" w:type="dxa"/>
              <w:left w:w="100" w:type="dxa"/>
              <w:bottom w:w="100" w:type="dxa"/>
              <w:right w:w="100" w:type="dxa"/>
            </w:tcMar>
            <w:vAlign w:val="center"/>
          </w:tcPr>
          <w:p w14:paraId="67ECA97C" w14:textId="77777777" w:rsidR="007925A3" w:rsidRDefault="00BF5C06">
            <w:pPr>
              <w:widowControl w:val="0"/>
              <w:pBdr>
                <w:top w:val="nil"/>
                <w:left w:val="nil"/>
                <w:bottom w:val="nil"/>
                <w:right w:val="nil"/>
                <w:between w:val="nil"/>
              </w:pBdr>
              <w:jc w:val="center"/>
              <w:rPr>
                <w:b/>
                <w:color w:val="073763"/>
              </w:rPr>
            </w:pPr>
            <w:r>
              <w:rPr>
                <w:b/>
                <w:color w:val="073763"/>
              </w:rPr>
              <w:t>New</w:t>
            </w:r>
          </w:p>
          <w:p w14:paraId="67ECA97D" w14:textId="77777777" w:rsidR="007925A3" w:rsidRDefault="007925A3">
            <w:pPr>
              <w:widowControl w:val="0"/>
              <w:pBdr>
                <w:top w:val="nil"/>
                <w:left w:val="nil"/>
                <w:bottom w:val="nil"/>
                <w:right w:val="nil"/>
                <w:between w:val="nil"/>
              </w:pBdr>
              <w:jc w:val="center"/>
              <w:rPr>
                <w:b/>
                <w:color w:val="073763"/>
              </w:rPr>
            </w:pPr>
          </w:p>
          <w:p w14:paraId="67ECA97E" w14:textId="77777777" w:rsidR="007925A3" w:rsidRDefault="00BF5C06">
            <w:pPr>
              <w:widowControl w:val="0"/>
              <w:pBdr>
                <w:top w:val="nil"/>
                <w:left w:val="nil"/>
                <w:bottom w:val="nil"/>
                <w:right w:val="nil"/>
                <w:between w:val="nil"/>
              </w:pBdr>
              <w:jc w:val="center"/>
              <w:rPr>
                <w:b/>
              </w:rPr>
            </w:pPr>
            <w:r>
              <w:rPr>
                <w:b/>
              </w:rPr>
              <w:t>Offered Service- Rigorous Action through Redesign</w:t>
            </w:r>
          </w:p>
        </w:tc>
        <w:tc>
          <w:tcPr>
            <w:tcW w:w="7620" w:type="dxa"/>
            <w:shd w:val="clear" w:color="auto" w:fill="auto"/>
            <w:tcMar>
              <w:top w:w="100" w:type="dxa"/>
              <w:left w:w="100" w:type="dxa"/>
              <w:bottom w:w="100" w:type="dxa"/>
              <w:right w:w="100" w:type="dxa"/>
            </w:tcMar>
            <w:vAlign w:val="center"/>
          </w:tcPr>
          <w:p w14:paraId="67ECA97F" w14:textId="77777777" w:rsidR="007925A3" w:rsidRDefault="00BF5C06">
            <w:pPr>
              <w:widowControl w:val="0"/>
              <w:numPr>
                <w:ilvl w:val="0"/>
                <w:numId w:val="2"/>
              </w:numPr>
              <w:pBdr>
                <w:top w:val="nil"/>
                <w:left w:val="nil"/>
                <w:bottom w:val="nil"/>
                <w:right w:val="nil"/>
                <w:between w:val="nil"/>
              </w:pBdr>
            </w:pPr>
            <w:r>
              <w:t>New offered service aligning to early action</w:t>
            </w:r>
          </w:p>
          <w:p w14:paraId="67ECA980" w14:textId="41C81D8E" w:rsidR="007925A3" w:rsidRDefault="00BF5C06">
            <w:pPr>
              <w:widowControl w:val="0"/>
              <w:numPr>
                <w:ilvl w:val="0"/>
                <w:numId w:val="2"/>
              </w:numPr>
              <w:pBdr>
                <w:top w:val="nil"/>
                <w:left w:val="nil"/>
                <w:bottom w:val="nil"/>
                <w:right w:val="nil"/>
                <w:between w:val="nil"/>
              </w:pBdr>
            </w:pPr>
            <w:r>
              <w:t xml:space="preserve">Eligibility- Schools in Year 2 or 3 of Priority Improvement or Turnaround; or CS Year 3 </w:t>
            </w:r>
            <w:r w:rsidR="004D1E5D">
              <w:t>or more</w:t>
            </w:r>
            <w:r>
              <w:t xml:space="preserve"> lowest 5% or low grad rate</w:t>
            </w:r>
          </w:p>
          <w:p w14:paraId="67ECA981" w14:textId="77777777" w:rsidR="007925A3" w:rsidRDefault="00BF5C06">
            <w:pPr>
              <w:widowControl w:val="0"/>
              <w:numPr>
                <w:ilvl w:val="0"/>
                <w:numId w:val="2"/>
              </w:numPr>
              <w:pBdr>
                <w:top w:val="nil"/>
                <w:left w:val="nil"/>
                <w:bottom w:val="nil"/>
                <w:right w:val="nil"/>
                <w:between w:val="nil"/>
              </w:pBdr>
            </w:pPr>
            <w:r>
              <w:t>Funding up to $20,000 for Year 1 launch and $100,000 per year for Years 2 and 3</w:t>
            </w:r>
          </w:p>
          <w:p w14:paraId="67ECA982" w14:textId="02628384" w:rsidR="007925A3" w:rsidRDefault="00BF5C06">
            <w:pPr>
              <w:widowControl w:val="0"/>
              <w:numPr>
                <w:ilvl w:val="0"/>
                <w:numId w:val="2"/>
              </w:numPr>
              <w:pBdr>
                <w:top w:val="nil"/>
                <w:left w:val="nil"/>
                <w:bottom w:val="nil"/>
                <w:right w:val="nil"/>
                <w:between w:val="nil"/>
              </w:pBdr>
            </w:pPr>
            <w:r>
              <w:t xml:space="preserve">For more information about this new route, please see the </w:t>
            </w:r>
            <w:hyperlink r:id="rId12" w:history="1">
              <w:r w:rsidRPr="008B0583">
                <w:rPr>
                  <w:rStyle w:val="Hyperlink"/>
                  <w:color w:val="0070C0"/>
                </w:rPr>
                <w:t>Offered Services- Rigorous Action through Redesign</w:t>
              </w:r>
            </w:hyperlink>
            <w:r>
              <w:t xml:space="preserve">. </w:t>
            </w:r>
          </w:p>
        </w:tc>
      </w:tr>
      <w:tr w:rsidR="007925A3" w14:paraId="67ECA98B" w14:textId="77777777" w:rsidTr="00132E83">
        <w:trPr>
          <w:trHeight w:val="440"/>
        </w:trPr>
        <w:tc>
          <w:tcPr>
            <w:tcW w:w="3075" w:type="dxa"/>
            <w:shd w:val="clear" w:color="auto" w:fill="auto"/>
            <w:tcMar>
              <w:top w:w="100" w:type="dxa"/>
              <w:left w:w="100" w:type="dxa"/>
              <w:bottom w:w="100" w:type="dxa"/>
              <w:right w:w="100" w:type="dxa"/>
            </w:tcMar>
          </w:tcPr>
          <w:p w14:paraId="67ECA984" w14:textId="77777777" w:rsidR="007925A3" w:rsidRDefault="007925A3">
            <w:pPr>
              <w:widowControl w:val="0"/>
              <w:pBdr>
                <w:top w:val="nil"/>
                <w:left w:val="nil"/>
                <w:bottom w:val="nil"/>
                <w:right w:val="nil"/>
                <w:between w:val="nil"/>
              </w:pBdr>
              <w:jc w:val="center"/>
              <w:rPr>
                <w:b/>
                <w:color w:val="990000"/>
              </w:rPr>
            </w:pPr>
          </w:p>
          <w:p w14:paraId="67ECA985" w14:textId="77777777" w:rsidR="007925A3" w:rsidRDefault="00BF5C06">
            <w:pPr>
              <w:widowControl w:val="0"/>
              <w:pBdr>
                <w:top w:val="nil"/>
                <w:left w:val="nil"/>
                <w:bottom w:val="nil"/>
                <w:right w:val="nil"/>
                <w:between w:val="nil"/>
              </w:pBdr>
              <w:jc w:val="center"/>
            </w:pPr>
            <w:r>
              <w:rPr>
                <w:b/>
                <w:color w:val="990000"/>
              </w:rPr>
              <w:t>Discontinued</w:t>
            </w:r>
            <w:r>
              <w:t xml:space="preserve"> </w:t>
            </w:r>
          </w:p>
          <w:p w14:paraId="67ECA986" w14:textId="77777777" w:rsidR="007925A3" w:rsidRDefault="007925A3">
            <w:pPr>
              <w:widowControl w:val="0"/>
              <w:pBdr>
                <w:top w:val="nil"/>
                <w:left w:val="nil"/>
                <w:bottom w:val="nil"/>
                <w:right w:val="nil"/>
                <w:between w:val="nil"/>
              </w:pBdr>
              <w:jc w:val="center"/>
            </w:pPr>
          </w:p>
          <w:p w14:paraId="67ECA987" w14:textId="77777777" w:rsidR="007925A3" w:rsidRDefault="00BF5C06">
            <w:pPr>
              <w:widowControl w:val="0"/>
              <w:pBdr>
                <w:top w:val="nil"/>
                <w:left w:val="nil"/>
                <w:bottom w:val="nil"/>
                <w:right w:val="nil"/>
                <w:between w:val="nil"/>
              </w:pBdr>
              <w:jc w:val="center"/>
              <w:rPr>
                <w:b/>
              </w:rPr>
            </w:pPr>
            <w:r>
              <w:rPr>
                <w:b/>
              </w:rPr>
              <w:t>EASI Routes &amp; Services</w:t>
            </w:r>
          </w:p>
          <w:p w14:paraId="67ECA988" w14:textId="77777777" w:rsidR="007925A3" w:rsidRDefault="007925A3">
            <w:pPr>
              <w:widowControl w:val="0"/>
              <w:pBdr>
                <w:top w:val="nil"/>
                <w:left w:val="nil"/>
                <w:bottom w:val="nil"/>
                <w:right w:val="nil"/>
                <w:between w:val="nil"/>
              </w:pBdr>
              <w:jc w:val="center"/>
              <w:rPr>
                <w:b/>
              </w:rPr>
            </w:pPr>
          </w:p>
        </w:tc>
        <w:tc>
          <w:tcPr>
            <w:tcW w:w="7620" w:type="dxa"/>
            <w:shd w:val="clear" w:color="auto" w:fill="auto"/>
            <w:tcMar>
              <w:top w:w="100" w:type="dxa"/>
              <w:left w:w="100" w:type="dxa"/>
              <w:bottom w:w="100" w:type="dxa"/>
              <w:right w:w="100" w:type="dxa"/>
            </w:tcMar>
            <w:vAlign w:val="center"/>
          </w:tcPr>
          <w:p w14:paraId="67ECA989" w14:textId="77777777" w:rsidR="007925A3" w:rsidRDefault="00BF5C06">
            <w:pPr>
              <w:widowControl w:val="0"/>
              <w:numPr>
                <w:ilvl w:val="0"/>
                <w:numId w:val="4"/>
              </w:numPr>
              <w:pBdr>
                <w:top w:val="nil"/>
                <w:left w:val="nil"/>
                <w:bottom w:val="nil"/>
                <w:right w:val="nil"/>
                <w:between w:val="nil"/>
              </w:pBdr>
            </w:pPr>
            <w:r>
              <w:t>Offered Services- Continuation- discontinued</w:t>
            </w:r>
          </w:p>
          <w:p w14:paraId="67ECA98A" w14:textId="77777777" w:rsidR="007925A3" w:rsidRDefault="00BF5C06">
            <w:pPr>
              <w:widowControl w:val="0"/>
              <w:numPr>
                <w:ilvl w:val="0"/>
                <w:numId w:val="4"/>
              </w:numPr>
              <w:pBdr>
                <w:top w:val="nil"/>
                <w:left w:val="nil"/>
                <w:bottom w:val="nil"/>
                <w:right w:val="nil"/>
                <w:between w:val="nil"/>
              </w:pBdr>
            </w:pPr>
            <w:r>
              <w:t>Exploration Supports- Early Literacy Instructional Program- CDE staff currently not able to provide diagnostic review</w:t>
            </w:r>
          </w:p>
        </w:tc>
      </w:tr>
    </w:tbl>
    <w:p w14:paraId="67ECA98C" w14:textId="77777777" w:rsidR="007925A3" w:rsidRDefault="007925A3">
      <w:pPr>
        <w:pStyle w:val="Heading2"/>
        <w:spacing w:before="0"/>
        <w:rPr>
          <w:rFonts w:eastAsia="Calibri" w:cs="Calibri"/>
          <w:sz w:val="22"/>
          <w:szCs w:val="22"/>
        </w:rPr>
      </w:pPr>
    </w:p>
    <w:sectPr w:rsidR="007925A3">
      <w:headerReference w:type="default" r:id="rId13"/>
      <w:headerReference w:type="first" r:id="rId14"/>
      <w:footerReference w:type="first" r:id="rId15"/>
      <w:pgSz w:w="12240" w:h="15840"/>
      <w:pgMar w:top="576"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A998" w14:textId="77777777" w:rsidR="00BF5C06" w:rsidRDefault="00BF5C06">
      <w:r>
        <w:separator/>
      </w:r>
    </w:p>
  </w:endnote>
  <w:endnote w:type="continuationSeparator" w:id="0">
    <w:p w14:paraId="67ECA99A" w14:textId="77777777" w:rsidR="00BF5C06" w:rsidRDefault="00BF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A993" w14:textId="77777777" w:rsidR="007925A3" w:rsidRDefault="007925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A994" w14:textId="77777777" w:rsidR="00BF5C06" w:rsidRDefault="00BF5C06">
      <w:r>
        <w:separator/>
      </w:r>
    </w:p>
  </w:footnote>
  <w:footnote w:type="continuationSeparator" w:id="0">
    <w:p w14:paraId="67ECA996" w14:textId="77777777" w:rsidR="00BF5C06" w:rsidRDefault="00BF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A98D" w14:textId="77777777" w:rsidR="007925A3" w:rsidRDefault="00BF5C06">
    <w:pPr>
      <w:pBdr>
        <w:top w:val="nil"/>
        <w:left w:val="nil"/>
        <w:bottom w:val="nil"/>
        <w:right w:val="nil"/>
        <w:between w:val="nil"/>
      </w:pBdr>
      <w:tabs>
        <w:tab w:val="center" w:pos="4680"/>
        <w:tab w:val="right" w:pos="9360"/>
        <w:tab w:val="left" w:pos="2640"/>
      </w:tabs>
      <w:rPr>
        <w:color w:val="000000"/>
      </w:rPr>
    </w:pPr>
    <w:r>
      <w:rPr>
        <w:color w:val="000000"/>
      </w:rPr>
      <w:tab/>
    </w:r>
  </w:p>
  <w:p w14:paraId="67ECA98E" w14:textId="77777777" w:rsidR="007925A3" w:rsidRDefault="00BF5C06">
    <w:pPr>
      <w:pBdr>
        <w:top w:val="nil"/>
        <w:left w:val="nil"/>
        <w:bottom w:val="nil"/>
        <w:right w:val="nil"/>
        <w:between w:val="nil"/>
      </w:pBdr>
      <w:tabs>
        <w:tab w:val="center" w:pos="4680"/>
        <w:tab w:val="right" w:pos="9360"/>
        <w:tab w:val="left" w:pos="2640"/>
      </w:tabs>
      <w:rPr>
        <w:color w:val="000000"/>
      </w:rPr>
    </w:pPr>
    <w:r>
      <w:rPr>
        <w:noProof/>
      </w:rPr>
      <w:drawing>
        <wp:anchor distT="0" distB="0" distL="114300" distR="114300" simplePos="0" relativeHeight="251658240" behindDoc="0" locked="0" layoutInCell="1" hidden="0" allowOverlap="1" wp14:anchorId="67ECA994" wp14:editId="0BFEF700">
          <wp:simplePos x="0" y="0"/>
          <wp:positionH relativeFrom="column">
            <wp:posOffset>5734050</wp:posOffset>
          </wp:positionH>
          <wp:positionV relativeFrom="paragraph">
            <wp:posOffset>95885</wp:posOffset>
          </wp:positionV>
          <wp:extent cx="1101090" cy="469265"/>
          <wp:effectExtent l="0" t="0" r="0" b="0"/>
          <wp:wrapNone/>
          <wp:docPr id="2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01090" cy="469265"/>
                  </a:xfrm>
                  <a:prstGeom prst="rect">
                    <a:avLst/>
                  </a:prstGeom>
                  <a:ln/>
                </pic:spPr>
              </pic:pic>
            </a:graphicData>
          </a:graphic>
        </wp:anchor>
      </w:drawing>
    </w:r>
  </w:p>
  <w:p w14:paraId="67ECA98F" w14:textId="77777777" w:rsidR="007925A3" w:rsidRDefault="007925A3">
    <w:pPr>
      <w:pBdr>
        <w:top w:val="nil"/>
        <w:left w:val="nil"/>
        <w:bottom w:val="nil"/>
        <w:right w:val="nil"/>
        <w:between w:val="nil"/>
      </w:pBdr>
      <w:tabs>
        <w:tab w:val="center" w:pos="4680"/>
        <w:tab w:val="right" w:pos="9360"/>
        <w:tab w:val="left" w:pos="2640"/>
      </w:tabs>
      <w:rPr>
        <w:color w:val="595959"/>
      </w:rPr>
    </w:pPr>
  </w:p>
  <w:p w14:paraId="67ECA990" w14:textId="77777777" w:rsidR="007925A3" w:rsidRDefault="00BF5C06">
    <w:pPr>
      <w:pBdr>
        <w:top w:val="nil"/>
        <w:left w:val="nil"/>
        <w:bottom w:val="nil"/>
        <w:right w:val="nil"/>
        <w:between w:val="nil"/>
      </w:pBdr>
      <w:tabs>
        <w:tab w:val="center" w:pos="4680"/>
        <w:tab w:val="right" w:pos="9360"/>
        <w:tab w:val="left" w:pos="2640"/>
      </w:tabs>
      <w:rPr>
        <w:color w:val="595959"/>
      </w:rPr>
    </w:pPr>
    <w:r>
      <w:rPr>
        <w:color w:val="595959"/>
      </w:rPr>
      <w:t>What’s New to EASI 2023?</w:t>
    </w:r>
  </w:p>
  <w:p w14:paraId="67ECA991" w14:textId="77777777" w:rsidR="007925A3" w:rsidRDefault="003334DD">
    <w:pPr>
      <w:pBdr>
        <w:top w:val="nil"/>
        <w:left w:val="nil"/>
        <w:bottom w:val="nil"/>
        <w:right w:val="nil"/>
        <w:between w:val="nil"/>
      </w:pBdr>
      <w:tabs>
        <w:tab w:val="center" w:pos="4680"/>
        <w:tab w:val="right" w:pos="9360"/>
        <w:tab w:val="left" w:pos="2640"/>
      </w:tabs>
      <w:rPr>
        <w:color w:val="000000"/>
      </w:rPr>
    </w:pPr>
    <w:r>
      <w:pict w14:anchorId="67ECA996">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A992" w14:textId="77777777" w:rsidR="007925A3" w:rsidRDefault="00BF5C06">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7ECA997" wp14:editId="41347412">
          <wp:simplePos x="0" y="0"/>
          <wp:positionH relativeFrom="column">
            <wp:posOffset>-447671</wp:posOffset>
          </wp:positionH>
          <wp:positionV relativeFrom="paragraph">
            <wp:posOffset>0</wp:posOffset>
          </wp:positionV>
          <wp:extent cx="7781567" cy="1604588"/>
          <wp:effectExtent l="0" t="0" r="0" b="0"/>
          <wp:wrapNone/>
          <wp:docPr id="1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81567" cy="16045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6FA"/>
    <w:multiLevelType w:val="multilevel"/>
    <w:tmpl w:val="2EF6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54098"/>
    <w:multiLevelType w:val="multilevel"/>
    <w:tmpl w:val="80AA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D4B72"/>
    <w:multiLevelType w:val="multilevel"/>
    <w:tmpl w:val="30269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826A5"/>
    <w:multiLevelType w:val="multilevel"/>
    <w:tmpl w:val="7B7CA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4F1321"/>
    <w:multiLevelType w:val="multilevel"/>
    <w:tmpl w:val="FE5C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240F1F"/>
    <w:multiLevelType w:val="multilevel"/>
    <w:tmpl w:val="9DB2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392454">
    <w:abstractNumId w:val="5"/>
  </w:num>
  <w:num w:numId="2" w16cid:durableId="986478082">
    <w:abstractNumId w:val="3"/>
  </w:num>
  <w:num w:numId="3" w16cid:durableId="728382036">
    <w:abstractNumId w:val="0"/>
  </w:num>
  <w:num w:numId="4" w16cid:durableId="205630">
    <w:abstractNumId w:val="4"/>
  </w:num>
  <w:num w:numId="5" w16cid:durableId="1630162975">
    <w:abstractNumId w:val="2"/>
  </w:num>
  <w:num w:numId="6" w16cid:durableId="2095935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A3"/>
    <w:rsid w:val="00132E83"/>
    <w:rsid w:val="003334DD"/>
    <w:rsid w:val="004D1E5D"/>
    <w:rsid w:val="007925A3"/>
    <w:rsid w:val="008B0583"/>
    <w:rsid w:val="008E2167"/>
    <w:rsid w:val="009A76E0"/>
    <w:rsid w:val="00BF5C06"/>
    <w:rsid w:val="00E0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CA93A"/>
  <w15:docId w15:val="{618719C4-AE8A-4557-94B6-ED65C717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F3"/>
  </w:style>
  <w:style w:type="paragraph" w:styleId="Heading1">
    <w:name w:val="heading 1"/>
    <w:basedOn w:val="Normal"/>
    <w:next w:val="Normal"/>
    <w:link w:val="Heading1Char"/>
    <w:uiPriority w:val="9"/>
    <w:qFormat/>
    <w:rsid w:val="00F920D5"/>
    <w:pPr>
      <w:keepNext/>
      <w:keepLines/>
      <w:spacing w:before="240"/>
      <w:outlineLvl w:val="0"/>
    </w:pPr>
    <w:rPr>
      <w:rFonts w:ascii="Museo Slab 500" w:eastAsiaTheme="majorEastAsia" w:hAnsi="Museo Slab 500" w:cstheme="majorBidi"/>
      <w:color w:val="FFFFFF" w:themeColor="background1"/>
      <w:sz w:val="24"/>
      <w:szCs w:val="32"/>
    </w:rPr>
  </w:style>
  <w:style w:type="paragraph" w:styleId="Heading2">
    <w:name w:val="heading 2"/>
    <w:basedOn w:val="Normal"/>
    <w:next w:val="Normal"/>
    <w:link w:val="Heading2Char"/>
    <w:uiPriority w:val="9"/>
    <w:unhideWhenUsed/>
    <w:qFormat/>
    <w:rsid w:val="002F6061"/>
    <w:pPr>
      <w:keepNext/>
      <w:keepLines/>
      <w:spacing w:before="40"/>
      <w:outlineLvl w:val="1"/>
    </w:pPr>
    <w:rPr>
      <w:rFonts w:eastAsiaTheme="majorEastAsia" w:cstheme="majorBidi"/>
      <w:b/>
      <w:color w:val="00CC00" w:themeColor="accent3"/>
      <w:sz w:val="28"/>
      <w:szCs w:val="26"/>
    </w:rPr>
  </w:style>
  <w:style w:type="paragraph" w:styleId="Heading3">
    <w:name w:val="heading 3"/>
    <w:basedOn w:val="Normal"/>
    <w:next w:val="Normal"/>
    <w:link w:val="Heading3Char"/>
    <w:uiPriority w:val="9"/>
    <w:unhideWhenUsed/>
    <w:qFormat/>
    <w:rsid w:val="00CA50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0D5"/>
    <w:pPr>
      <w:contextualSpacing/>
    </w:pPr>
    <w:rPr>
      <w:rFonts w:ascii="Museo Slab 500" w:eastAsiaTheme="majorEastAsia" w:hAnsi="Museo Slab 500" w:cstheme="majorBidi"/>
      <w:color w:val="FFFFFF" w:themeColor="background1"/>
      <w:spacing w:val="-10"/>
      <w:kern w:val="28"/>
      <w:sz w:val="60"/>
      <w:szCs w:val="56"/>
    </w:rPr>
  </w:style>
  <w:style w:type="paragraph" w:styleId="Header">
    <w:name w:val="header"/>
    <w:basedOn w:val="Normal"/>
    <w:link w:val="HeaderChar"/>
    <w:uiPriority w:val="99"/>
    <w:unhideWhenUsed/>
    <w:rsid w:val="00AB7D00"/>
    <w:pPr>
      <w:tabs>
        <w:tab w:val="center" w:pos="4680"/>
        <w:tab w:val="right" w:pos="9360"/>
      </w:tabs>
    </w:pPr>
  </w:style>
  <w:style w:type="character" w:customStyle="1" w:styleId="HeaderChar">
    <w:name w:val="Header Char"/>
    <w:basedOn w:val="DefaultParagraphFont"/>
    <w:link w:val="Header"/>
    <w:uiPriority w:val="99"/>
    <w:rsid w:val="00AB7D00"/>
  </w:style>
  <w:style w:type="paragraph" w:styleId="Footer">
    <w:name w:val="footer"/>
    <w:basedOn w:val="Normal"/>
    <w:link w:val="FooterChar"/>
    <w:uiPriority w:val="99"/>
    <w:unhideWhenUsed/>
    <w:rsid w:val="00AB7D00"/>
    <w:pPr>
      <w:tabs>
        <w:tab w:val="center" w:pos="4680"/>
        <w:tab w:val="right" w:pos="9360"/>
      </w:tabs>
    </w:pPr>
  </w:style>
  <w:style w:type="character" w:customStyle="1" w:styleId="FooterChar">
    <w:name w:val="Footer Char"/>
    <w:basedOn w:val="DefaultParagraphFont"/>
    <w:link w:val="Footer"/>
    <w:uiPriority w:val="99"/>
    <w:rsid w:val="00AB7D00"/>
  </w:style>
  <w:style w:type="character" w:customStyle="1" w:styleId="TitleChar">
    <w:name w:val="Title Char"/>
    <w:basedOn w:val="DefaultParagraphFont"/>
    <w:link w:val="Title"/>
    <w:uiPriority w:val="10"/>
    <w:rsid w:val="00F920D5"/>
    <w:rPr>
      <w:rFonts w:ascii="Museo Slab 500" w:eastAsiaTheme="majorEastAsia" w:hAnsi="Museo Slab 500" w:cstheme="majorBidi"/>
      <w:color w:val="FFFFFF" w:themeColor="background1"/>
      <w:spacing w:val="-10"/>
      <w:kern w:val="28"/>
      <w:sz w:val="60"/>
      <w:szCs w:val="56"/>
    </w:rPr>
  </w:style>
  <w:style w:type="character" w:customStyle="1" w:styleId="Heading1Char">
    <w:name w:val="Heading 1 Char"/>
    <w:basedOn w:val="DefaultParagraphFont"/>
    <w:link w:val="Heading1"/>
    <w:uiPriority w:val="9"/>
    <w:rsid w:val="00F920D5"/>
    <w:rPr>
      <w:rFonts w:ascii="Museo Slab 500" w:eastAsiaTheme="majorEastAsia" w:hAnsi="Museo Slab 500" w:cstheme="majorBidi"/>
      <w:color w:val="FFFFFF" w:themeColor="background1"/>
      <w:sz w:val="24"/>
      <w:szCs w:val="32"/>
    </w:rPr>
  </w:style>
  <w:style w:type="character" w:customStyle="1" w:styleId="Heading2Char">
    <w:name w:val="Heading 2 Char"/>
    <w:basedOn w:val="DefaultParagraphFont"/>
    <w:link w:val="Heading2"/>
    <w:uiPriority w:val="9"/>
    <w:rsid w:val="002F6061"/>
    <w:rPr>
      <w:rFonts w:eastAsiaTheme="majorEastAsia" w:cstheme="majorBidi"/>
      <w:b/>
      <w:color w:val="00CC00" w:themeColor="accent3"/>
      <w:sz w:val="28"/>
      <w:szCs w:val="26"/>
    </w:rPr>
  </w:style>
  <w:style w:type="character" w:styleId="Hyperlink">
    <w:name w:val="Hyperlink"/>
    <w:basedOn w:val="DefaultParagraphFont"/>
    <w:uiPriority w:val="99"/>
    <w:unhideWhenUsed/>
    <w:rsid w:val="00A758EE"/>
    <w:rPr>
      <w:color w:val="4F81BD" w:themeColor="accent1"/>
      <w:u w:val="single"/>
    </w:rPr>
  </w:style>
  <w:style w:type="paragraph" w:styleId="BalloonText">
    <w:name w:val="Balloon Text"/>
    <w:basedOn w:val="Normal"/>
    <w:link w:val="BalloonTextChar"/>
    <w:uiPriority w:val="99"/>
    <w:semiHidden/>
    <w:unhideWhenUsed/>
    <w:rsid w:val="006B2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F8"/>
    <w:rPr>
      <w:rFonts w:ascii="Segoe UI" w:hAnsi="Segoe UI" w:cs="Segoe UI"/>
      <w:sz w:val="18"/>
      <w:szCs w:val="18"/>
    </w:rPr>
  </w:style>
  <w:style w:type="character" w:styleId="UnresolvedMention">
    <w:name w:val="Unresolved Mention"/>
    <w:basedOn w:val="DefaultParagraphFont"/>
    <w:uiPriority w:val="99"/>
    <w:semiHidden/>
    <w:unhideWhenUsed/>
    <w:rsid w:val="00CA5060"/>
    <w:rPr>
      <w:color w:val="605E5C"/>
      <w:shd w:val="clear" w:color="auto" w:fill="E1DFDD"/>
    </w:rPr>
  </w:style>
  <w:style w:type="paragraph" w:styleId="ListParagraph">
    <w:name w:val="List Paragraph"/>
    <w:basedOn w:val="Normal"/>
    <w:uiPriority w:val="34"/>
    <w:qFormat/>
    <w:rsid w:val="00CA5060"/>
    <w:pPr>
      <w:ind w:left="720"/>
      <w:contextualSpacing/>
    </w:pPr>
  </w:style>
  <w:style w:type="character" w:customStyle="1" w:styleId="Heading3Char">
    <w:name w:val="Heading 3 Char"/>
    <w:basedOn w:val="DefaultParagraphFont"/>
    <w:link w:val="Heading3"/>
    <w:uiPriority w:val="9"/>
    <w:rsid w:val="00CA5060"/>
    <w:rPr>
      <w:rFonts w:asciiTheme="majorHAnsi" w:eastAsiaTheme="majorEastAsia" w:hAnsiTheme="majorHAnsi" w:cstheme="majorBidi"/>
      <w:color w:val="243F60" w:themeColor="accent1" w:themeShade="7F"/>
      <w:sz w:val="24"/>
      <w:szCs w:val="24"/>
    </w:rPr>
  </w:style>
  <w:style w:type="paragraph" w:customStyle="1" w:styleId="Page01-Side-bar-navy">
    <w:name w:val="Page 01-Side-bar-navy"/>
    <w:basedOn w:val="Normal"/>
    <w:link w:val="Page01-Side-bar-navyChar"/>
    <w:qFormat/>
    <w:rsid w:val="00CA5060"/>
    <w:pPr>
      <w:spacing w:after="160" w:line="259" w:lineRule="auto"/>
    </w:pPr>
    <w:rPr>
      <w:rFonts w:cs="Times New Roman"/>
      <w:color w:val="232C67"/>
      <w:sz w:val="20"/>
    </w:rPr>
  </w:style>
  <w:style w:type="character" w:customStyle="1" w:styleId="Page01-Side-bar-navyChar">
    <w:name w:val="Page 01-Side-bar-navy Char"/>
    <w:link w:val="Page01-Side-bar-navy"/>
    <w:rsid w:val="00CA5060"/>
    <w:rPr>
      <w:rFonts w:ascii="Calibri" w:eastAsia="Calibri" w:hAnsi="Calibri" w:cs="Times New Roman"/>
      <w:color w:val="232C67"/>
      <w:sz w:val="20"/>
    </w:rPr>
  </w:style>
  <w:style w:type="paragraph" w:customStyle="1" w:styleId="Text">
    <w:name w:val="Text"/>
    <w:basedOn w:val="Normal"/>
    <w:link w:val="TextChar"/>
    <w:qFormat/>
    <w:rsid w:val="00CA5060"/>
    <w:pPr>
      <w:spacing w:after="160" w:line="259" w:lineRule="auto"/>
    </w:pPr>
    <w:rPr>
      <w:rFonts w:cs="Times New Roman"/>
    </w:rPr>
  </w:style>
  <w:style w:type="character" w:customStyle="1" w:styleId="TextChar">
    <w:name w:val="Text Char"/>
    <w:basedOn w:val="DefaultParagraphFont"/>
    <w:link w:val="Text"/>
    <w:rsid w:val="00CA5060"/>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C2530C"/>
  </w:style>
  <w:style w:type="character" w:customStyle="1" w:styleId="eop">
    <w:name w:val="eop"/>
    <w:basedOn w:val="DefaultParagraphFont"/>
    <w:rsid w:val="00C2530C"/>
  </w:style>
  <w:style w:type="character" w:styleId="CommentReference">
    <w:name w:val="annotation reference"/>
    <w:basedOn w:val="DefaultParagraphFont"/>
    <w:uiPriority w:val="99"/>
    <w:semiHidden/>
    <w:unhideWhenUsed/>
    <w:rsid w:val="004F47CA"/>
    <w:rPr>
      <w:sz w:val="16"/>
      <w:szCs w:val="16"/>
    </w:rPr>
  </w:style>
  <w:style w:type="paragraph" w:styleId="CommentText">
    <w:name w:val="annotation text"/>
    <w:basedOn w:val="Normal"/>
    <w:link w:val="CommentTextChar"/>
    <w:uiPriority w:val="99"/>
    <w:unhideWhenUsed/>
    <w:rsid w:val="004F47CA"/>
    <w:rPr>
      <w:sz w:val="20"/>
      <w:szCs w:val="20"/>
    </w:rPr>
  </w:style>
  <w:style w:type="character" w:customStyle="1" w:styleId="CommentTextChar">
    <w:name w:val="Comment Text Char"/>
    <w:basedOn w:val="DefaultParagraphFont"/>
    <w:link w:val="CommentText"/>
    <w:uiPriority w:val="99"/>
    <w:rsid w:val="004F47CA"/>
    <w:rPr>
      <w:sz w:val="20"/>
      <w:szCs w:val="20"/>
    </w:rPr>
  </w:style>
  <w:style w:type="paragraph" w:styleId="CommentSubject">
    <w:name w:val="annotation subject"/>
    <w:basedOn w:val="CommentText"/>
    <w:next w:val="CommentText"/>
    <w:link w:val="CommentSubjectChar"/>
    <w:uiPriority w:val="99"/>
    <w:semiHidden/>
    <w:unhideWhenUsed/>
    <w:rsid w:val="004F47CA"/>
    <w:rPr>
      <w:b/>
      <w:bCs/>
    </w:rPr>
  </w:style>
  <w:style w:type="character" w:customStyle="1" w:styleId="CommentSubjectChar">
    <w:name w:val="Comment Subject Char"/>
    <w:basedOn w:val="CommentTextChar"/>
    <w:link w:val="CommentSubject"/>
    <w:uiPriority w:val="99"/>
    <w:semiHidden/>
    <w:rsid w:val="004F47CA"/>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e.state.co.us/fedprograms/easimenuofsuppor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fedprograms/infosheet_rigorousactionthroughredesig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accountability/cde-advisory-list-of-provi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e.state.co.us/fedprograms/infosheet_accountabilitypathways" TargetMode="External"/><Relationship Id="rId4" Type="http://schemas.openxmlformats.org/officeDocument/2006/relationships/settings" Target="settings.xml"/><Relationship Id="rId9" Type="http://schemas.openxmlformats.org/officeDocument/2006/relationships/hyperlink" Target="https://www.cde.state.co.us/fedprograms/easiappresourcesandtechnicalassistan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ASI Application">
      <a:dk1>
        <a:sysClr val="windowText" lastClr="000000"/>
      </a:dk1>
      <a:lt1>
        <a:sysClr val="window" lastClr="FFFFFF"/>
      </a:lt1>
      <a:dk2>
        <a:srgbClr val="1F497D"/>
      </a:dk2>
      <a:lt2>
        <a:srgbClr val="EEECE1"/>
      </a:lt2>
      <a:accent1>
        <a:srgbClr val="4F81BD"/>
      </a:accent1>
      <a:accent2>
        <a:srgbClr val="C0504D"/>
      </a:accent2>
      <a:accent3>
        <a:srgbClr val="00CC00"/>
      </a:accent3>
      <a:accent4>
        <a:srgbClr val="800080"/>
      </a:accent4>
      <a:accent5>
        <a:srgbClr val="31849B"/>
      </a:accent5>
      <a:accent6>
        <a:srgbClr val="F79646"/>
      </a:accent6>
      <a:hlink>
        <a:srgbClr val="4F81BD"/>
      </a:hlink>
      <a:folHlink>
        <a:srgbClr val="8064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QNBadVwj7O88Zxf/9DqjkzsrnQ==">CgMxLjAyDmguYW1sODd4a3VmeWJqOAByITFkYjlWRGdsLUUwdU1DcDd2VjY3RHZEajVRamJWTDd4WA==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Cox, Ph.D., Lindsay</cp:lastModifiedBy>
  <cp:revision>4</cp:revision>
  <dcterms:created xsi:type="dcterms:W3CDTF">2023-10-05T14:37:00Z</dcterms:created>
  <dcterms:modified xsi:type="dcterms:W3CDTF">2023-10-19T15:11:00Z</dcterms:modified>
</cp:coreProperties>
</file>