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62AF" w14:textId="77777777" w:rsidR="007855AF" w:rsidRPr="00EF7C23" w:rsidRDefault="007855AF" w:rsidP="00EA1490">
      <w:pPr>
        <w:tabs>
          <w:tab w:val="left" w:pos="2340"/>
        </w:tabs>
        <w:spacing w:after="0" w:line="240" w:lineRule="auto"/>
        <w:ind w:right="-360"/>
        <w:rPr>
          <w:rFonts w:ascii="Trebuchet MS" w:hAnsi="Trebuchet MS"/>
          <w:b/>
        </w:rPr>
      </w:pPr>
    </w:p>
    <w:p w14:paraId="6B529574" w14:textId="77777777" w:rsidR="00301349" w:rsidRPr="00EF7C23" w:rsidRDefault="00301349" w:rsidP="00EA1490">
      <w:pPr>
        <w:tabs>
          <w:tab w:val="left" w:pos="2340"/>
        </w:tabs>
        <w:spacing w:after="0" w:line="240" w:lineRule="auto"/>
        <w:ind w:right="-360"/>
        <w:rPr>
          <w:rFonts w:ascii="Trebuchet MS" w:hAnsi="Trebuchet MS"/>
          <w:b/>
        </w:rPr>
      </w:pPr>
      <w:r w:rsidRPr="00EF7C23">
        <w:rPr>
          <w:rFonts w:ascii="Trebuchet MS" w:hAnsi="Trebuchet MS"/>
          <w:b/>
        </w:rPr>
        <w:t>MEMO</w:t>
      </w:r>
    </w:p>
    <w:p w14:paraId="5A3C7E19" w14:textId="77777777" w:rsidR="00301349" w:rsidRPr="00EF7C23" w:rsidRDefault="00301349" w:rsidP="00EA1490">
      <w:pPr>
        <w:tabs>
          <w:tab w:val="left" w:pos="2340"/>
        </w:tabs>
        <w:spacing w:after="0" w:line="240" w:lineRule="auto"/>
        <w:ind w:right="-360"/>
        <w:rPr>
          <w:rFonts w:ascii="Trebuchet MS" w:hAnsi="Trebuchet MS"/>
          <w:b/>
        </w:rPr>
      </w:pPr>
    </w:p>
    <w:p w14:paraId="7DC2241E" w14:textId="1202001D" w:rsidR="002C1AEC" w:rsidRDefault="002C1AEC" w:rsidP="00EA1490">
      <w:pPr>
        <w:tabs>
          <w:tab w:val="left" w:pos="720"/>
          <w:tab w:val="left" w:pos="2340"/>
        </w:tabs>
        <w:spacing w:after="0" w:line="240" w:lineRule="auto"/>
        <w:ind w:right="-360"/>
        <w:rPr>
          <w:rFonts w:ascii="Trebuchet MS" w:hAnsi="Trebuchet MS"/>
          <w:b/>
        </w:rPr>
      </w:pPr>
      <w:r>
        <w:rPr>
          <w:rFonts w:ascii="Trebuchet MS" w:hAnsi="Trebuchet MS"/>
          <w:b/>
        </w:rPr>
        <w:t xml:space="preserve">TO: </w:t>
      </w:r>
      <w:r>
        <w:rPr>
          <w:rFonts w:ascii="Trebuchet MS" w:hAnsi="Trebuchet MS"/>
          <w:b/>
        </w:rPr>
        <w:tab/>
        <w:t>State Board of Education</w:t>
      </w:r>
    </w:p>
    <w:p w14:paraId="3CC95D5A" w14:textId="60D2478C" w:rsidR="002C1AEC" w:rsidRDefault="002C1AEC" w:rsidP="00EA1490">
      <w:pPr>
        <w:tabs>
          <w:tab w:val="left" w:pos="720"/>
          <w:tab w:val="left" w:pos="2340"/>
        </w:tabs>
        <w:spacing w:after="0" w:line="240" w:lineRule="auto"/>
        <w:ind w:right="-360"/>
        <w:rPr>
          <w:rFonts w:ascii="Trebuchet MS" w:hAnsi="Trebuchet MS"/>
          <w:b/>
        </w:rPr>
      </w:pPr>
      <w:r>
        <w:rPr>
          <w:rFonts w:ascii="Trebuchet MS" w:hAnsi="Trebuchet MS"/>
          <w:b/>
        </w:rPr>
        <w:t>FROM:</w:t>
      </w:r>
      <w:r>
        <w:rPr>
          <w:rFonts w:ascii="Trebuchet MS" w:hAnsi="Trebuchet MS"/>
          <w:b/>
        </w:rPr>
        <w:tab/>
        <w:t>Colleen O’Neil, Ed.D., Association Commissioner, Educator Talent</w:t>
      </w:r>
    </w:p>
    <w:p w14:paraId="7E0FADEE" w14:textId="6EFE02A8" w:rsidR="002C1AEC" w:rsidRDefault="002C1AEC" w:rsidP="00EA1490">
      <w:pPr>
        <w:tabs>
          <w:tab w:val="left" w:pos="720"/>
          <w:tab w:val="left" w:pos="2340"/>
        </w:tabs>
        <w:spacing w:after="0" w:line="240" w:lineRule="auto"/>
        <w:ind w:left="720" w:right="-360" w:hanging="720"/>
        <w:rPr>
          <w:rFonts w:ascii="Trebuchet MS" w:hAnsi="Trebuchet MS"/>
          <w:b/>
        </w:rPr>
      </w:pPr>
      <w:r>
        <w:rPr>
          <w:rFonts w:ascii="Trebuchet MS" w:hAnsi="Trebuchet MS"/>
          <w:b/>
        </w:rPr>
        <w:t>RE:</w:t>
      </w:r>
      <w:r>
        <w:rPr>
          <w:rFonts w:ascii="Trebuchet MS" w:hAnsi="Trebuchet MS"/>
          <w:b/>
        </w:rPr>
        <w:tab/>
      </w:r>
      <w:r w:rsidR="00B41B68">
        <w:rPr>
          <w:rFonts w:ascii="Trebuchet MS" w:hAnsi="Trebuchet MS"/>
          <w:b/>
        </w:rPr>
        <w:t>October</w:t>
      </w:r>
      <w:r>
        <w:rPr>
          <w:rFonts w:ascii="Trebuchet MS" w:hAnsi="Trebuchet MS"/>
          <w:b/>
        </w:rPr>
        <w:t xml:space="preserve"> </w:t>
      </w:r>
      <w:r w:rsidR="00B41B68">
        <w:rPr>
          <w:rFonts w:ascii="Trebuchet MS" w:hAnsi="Trebuchet MS"/>
          <w:b/>
        </w:rPr>
        <w:t>Information Item:</w:t>
      </w:r>
      <w:r>
        <w:rPr>
          <w:rFonts w:ascii="Trebuchet MS" w:hAnsi="Trebuchet MS"/>
          <w:b/>
        </w:rPr>
        <w:t xml:space="preserve"> Rules for the Administration of the </w:t>
      </w:r>
      <w:r>
        <w:rPr>
          <w:rFonts w:ascii="Trebuchet MS" w:hAnsi="Trebuchet MS"/>
          <w:b/>
        </w:rPr>
        <w:br/>
        <w:t>Educator Licensing Act of 1991, 1 CCR 301-37</w:t>
      </w:r>
    </w:p>
    <w:p w14:paraId="3E3DD5D7" w14:textId="35526134" w:rsidR="002C1AEC" w:rsidRDefault="002C1AEC" w:rsidP="00EA1490">
      <w:pPr>
        <w:tabs>
          <w:tab w:val="left" w:pos="720"/>
          <w:tab w:val="left" w:pos="2340"/>
        </w:tabs>
        <w:spacing w:after="0" w:line="240" w:lineRule="auto"/>
        <w:ind w:right="-360"/>
        <w:rPr>
          <w:rFonts w:ascii="Trebuchet MS" w:hAnsi="Trebuchet MS"/>
          <w:b/>
        </w:rPr>
      </w:pPr>
      <w:r>
        <w:rPr>
          <w:rFonts w:ascii="Trebuchet MS" w:hAnsi="Trebuchet MS"/>
          <w:b/>
        </w:rPr>
        <w:t>DATE:</w:t>
      </w:r>
      <w:r>
        <w:rPr>
          <w:rFonts w:ascii="Trebuchet MS" w:hAnsi="Trebuchet MS"/>
          <w:b/>
        </w:rPr>
        <w:tab/>
        <w:t>October 2021</w:t>
      </w:r>
    </w:p>
    <w:p w14:paraId="3467D2AC" w14:textId="633A7F4D" w:rsidR="002C1AEC" w:rsidRDefault="002C1AEC" w:rsidP="00EA1490">
      <w:pPr>
        <w:tabs>
          <w:tab w:val="left" w:pos="720"/>
          <w:tab w:val="left" w:pos="2340"/>
        </w:tabs>
        <w:spacing w:after="0" w:line="240" w:lineRule="auto"/>
        <w:ind w:right="-360"/>
        <w:rPr>
          <w:rFonts w:ascii="Trebuchet MS" w:hAnsi="Trebuchet MS"/>
          <w:b/>
        </w:rPr>
      </w:pPr>
    </w:p>
    <w:p w14:paraId="72E95115" w14:textId="77777777" w:rsidR="00EF7C23" w:rsidRPr="002C1AEC" w:rsidRDefault="00EF7C23" w:rsidP="00EA1490">
      <w:pPr>
        <w:pStyle w:val="body"/>
        <w:spacing w:line="240" w:lineRule="auto"/>
        <w:ind w:right="-360"/>
        <w:outlineLvl w:val="0"/>
        <w:rPr>
          <w:b/>
          <w:bCs/>
          <w:sz w:val="22"/>
          <w:szCs w:val="22"/>
        </w:rPr>
      </w:pPr>
      <w:r w:rsidRPr="002C1AEC">
        <w:rPr>
          <w:b/>
          <w:bCs/>
          <w:sz w:val="22"/>
          <w:szCs w:val="22"/>
        </w:rPr>
        <w:t>Information Only</w:t>
      </w:r>
    </w:p>
    <w:p w14:paraId="3D8032D2" w14:textId="6C22A2F5" w:rsidR="00EF7C23" w:rsidRDefault="00EF7C23" w:rsidP="00EA1490">
      <w:pPr>
        <w:pStyle w:val="body"/>
        <w:spacing w:line="240" w:lineRule="auto"/>
        <w:ind w:right="-360"/>
        <w:outlineLvl w:val="0"/>
        <w:rPr>
          <w:sz w:val="22"/>
          <w:szCs w:val="22"/>
        </w:rPr>
      </w:pPr>
    </w:p>
    <w:p w14:paraId="7DC52C00" w14:textId="77777777" w:rsidR="00EA1490" w:rsidRDefault="002C1AEC" w:rsidP="00EA1490">
      <w:pPr>
        <w:pStyle w:val="body"/>
        <w:spacing w:line="240" w:lineRule="auto"/>
        <w:ind w:right="-360"/>
        <w:outlineLvl w:val="0"/>
        <w:rPr>
          <w:sz w:val="22"/>
          <w:szCs w:val="22"/>
        </w:rPr>
      </w:pPr>
      <w:r>
        <w:rPr>
          <w:sz w:val="22"/>
          <w:szCs w:val="22"/>
        </w:rPr>
        <w:t xml:space="preserve">In November 2021, the Educator Talent Division will present to the board for hearing and a vote revisions to 1 CCR 301-37, </w:t>
      </w:r>
      <w:r w:rsidR="00EF7C23" w:rsidRPr="00EF7C23">
        <w:rPr>
          <w:sz w:val="22"/>
          <w:szCs w:val="22"/>
        </w:rPr>
        <w:t>Rules for the Administration of the Educator Licensing Act of 1991, 1 CCR 301-37</w:t>
      </w:r>
      <w:r w:rsidR="00EA1490">
        <w:rPr>
          <w:sz w:val="22"/>
          <w:szCs w:val="22"/>
        </w:rPr>
        <w:t xml:space="preserve">. </w:t>
      </w:r>
      <w:r w:rsidR="00EA1490" w:rsidRPr="00EF7C23">
        <w:rPr>
          <w:sz w:val="22"/>
          <w:szCs w:val="22"/>
        </w:rPr>
        <w:t>Th</w:t>
      </w:r>
      <w:r w:rsidR="00EA1490">
        <w:rPr>
          <w:sz w:val="22"/>
          <w:szCs w:val="22"/>
        </w:rPr>
        <w:t xml:space="preserve">is ruleset was noticed on Sept. 30, 2021 to provide ample time to invite and receive public comment. </w:t>
      </w:r>
    </w:p>
    <w:p w14:paraId="02BFE124" w14:textId="77777777" w:rsidR="00EA1490" w:rsidRDefault="00EA1490" w:rsidP="00EA1490">
      <w:pPr>
        <w:pStyle w:val="body"/>
        <w:spacing w:line="240" w:lineRule="auto"/>
        <w:ind w:right="-360"/>
        <w:outlineLvl w:val="0"/>
        <w:rPr>
          <w:sz w:val="22"/>
          <w:szCs w:val="22"/>
        </w:rPr>
      </w:pPr>
    </w:p>
    <w:p w14:paraId="018452CA" w14:textId="41AD078A" w:rsidR="00EA1490" w:rsidRDefault="00EA1490" w:rsidP="00EA1490">
      <w:pPr>
        <w:pStyle w:val="body"/>
        <w:spacing w:line="240" w:lineRule="auto"/>
        <w:ind w:right="-360"/>
        <w:outlineLvl w:val="0"/>
        <w:rPr>
          <w:sz w:val="22"/>
          <w:szCs w:val="22"/>
        </w:rPr>
      </w:pPr>
      <w:r>
        <w:rPr>
          <w:sz w:val="22"/>
          <w:szCs w:val="22"/>
        </w:rPr>
        <w:t>The urgency behind these updates and amendments stems from recent legislation that expand options for educators and the department’s need for the board to promulgate rules so that it may implement these changes appropriately:</w:t>
      </w:r>
    </w:p>
    <w:p w14:paraId="1E7CB979" w14:textId="68D71F1F" w:rsidR="00EF7C23" w:rsidRDefault="00EF7C23" w:rsidP="00EA1490">
      <w:pPr>
        <w:pStyle w:val="body"/>
        <w:spacing w:line="240" w:lineRule="auto"/>
        <w:ind w:right="-360"/>
        <w:outlineLvl w:val="0"/>
        <w:rPr>
          <w:sz w:val="22"/>
          <w:szCs w:val="22"/>
        </w:rPr>
      </w:pPr>
    </w:p>
    <w:p w14:paraId="34E21311" w14:textId="77777777" w:rsidR="00DD035E" w:rsidRDefault="00DD035E" w:rsidP="00EA1490">
      <w:pPr>
        <w:pStyle w:val="body"/>
        <w:numPr>
          <w:ilvl w:val="0"/>
          <w:numId w:val="15"/>
        </w:numPr>
        <w:spacing w:line="240" w:lineRule="auto"/>
        <w:ind w:right="-360"/>
        <w:outlineLvl w:val="0"/>
        <w:rPr>
          <w:sz w:val="22"/>
          <w:szCs w:val="22"/>
        </w:rPr>
      </w:pPr>
      <w:r>
        <w:rPr>
          <w:sz w:val="22"/>
          <w:szCs w:val="22"/>
        </w:rPr>
        <w:t xml:space="preserve">HB 20-1312: behavioral health coursework requirements for educator preparation programs </w:t>
      </w:r>
    </w:p>
    <w:p w14:paraId="532A95DF" w14:textId="72C1AF1C" w:rsidR="00DD035E" w:rsidRDefault="00DD035E" w:rsidP="00EA1490">
      <w:pPr>
        <w:pStyle w:val="body"/>
        <w:numPr>
          <w:ilvl w:val="0"/>
          <w:numId w:val="15"/>
        </w:numPr>
        <w:spacing w:line="240" w:lineRule="auto"/>
        <w:ind w:right="-360"/>
        <w:outlineLvl w:val="0"/>
        <w:rPr>
          <w:sz w:val="22"/>
          <w:szCs w:val="22"/>
        </w:rPr>
      </w:pPr>
      <w:r>
        <w:rPr>
          <w:sz w:val="22"/>
          <w:szCs w:val="22"/>
        </w:rPr>
        <w:t>SB 20-158: found</w:t>
      </w:r>
      <w:r w:rsidR="00EA1490">
        <w:rPr>
          <w:sz w:val="22"/>
          <w:szCs w:val="22"/>
        </w:rPr>
        <w:t>at</w:t>
      </w:r>
      <w:r>
        <w:rPr>
          <w:sz w:val="22"/>
          <w:szCs w:val="22"/>
        </w:rPr>
        <w:t>i</w:t>
      </w:r>
      <w:r w:rsidR="00EA1490">
        <w:rPr>
          <w:sz w:val="22"/>
          <w:szCs w:val="22"/>
        </w:rPr>
        <w:t>o</w:t>
      </w:r>
      <w:r>
        <w:rPr>
          <w:sz w:val="22"/>
          <w:szCs w:val="22"/>
        </w:rPr>
        <w:t xml:space="preserve">nal reading skills requirement for all </w:t>
      </w:r>
      <w:r w:rsidR="00913EB6">
        <w:rPr>
          <w:sz w:val="22"/>
          <w:szCs w:val="22"/>
        </w:rPr>
        <w:t>early childhood, elementary and special education prepation programs</w:t>
      </w:r>
    </w:p>
    <w:p w14:paraId="178FCB76" w14:textId="63C3F0BB" w:rsidR="00310543" w:rsidRDefault="00310543" w:rsidP="00EA1490">
      <w:pPr>
        <w:pStyle w:val="body"/>
        <w:numPr>
          <w:ilvl w:val="0"/>
          <w:numId w:val="15"/>
        </w:numPr>
        <w:spacing w:line="240" w:lineRule="auto"/>
        <w:ind w:right="-360"/>
        <w:outlineLvl w:val="0"/>
        <w:rPr>
          <w:sz w:val="22"/>
          <w:szCs w:val="22"/>
        </w:rPr>
      </w:pPr>
      <w:r>
        <w:rPr>
          <w:sz w:val="22"/>
          <w:szCs w:val="22"/>
        </w:rPr>
        <w:t xml:space="preserve">HB 21-1104: </w:t>
      </w:r>
      <w:r w:rsidR="00913EB6">
        <w:rPr>
          <w:sz w:val="22"/>
          <w:szCs w:val="22"/>
        </w:rPr>
        <w:t>issuance</w:t>
      </w:r>
      <w:r>
        <w:rPr>
          <w:sz w:val="22"/>
          <w:szCs w:val="22"/>
        </w:rPr>
        <w:t xml:space="preserve"> of professional educator license</w:t>
      </w:r>
      <w:r w:rsidR="00913EB6">
        <w:rPr>
          <w:sz w:val="22"/>
          <w:szCs w:val="22"/>
        </w:rPr>
        <w:t>s</w:t>
      </w:r>
      <w:r>
        <w:rPr>
          <w:sz w:val="22"/>
          <w:szCs w:val="22"/>
        </w:rPr>
        <w:t xml:space="preserve"> extended from 5 to 7 years</w:t>
      </w:r>
    </w:p>
    <w:p w14:paraId="14EDAD00" w14:textId="2C4FE4EE" w:rsidR="00310543" w:rsidRDefault="00310543" w:rsidP="00EA1490">
      <w:pPr>
        <w:pStyle w:val="body"/>
        <w:numPr>
          <w:ilvl w:val="0"/>
          <w:numId w:val="15"/>
        </w:numPr>
        <w:spacing w:line="240" w:lineRule="auto"/>
        <w:ind w:right="-360"/>
        <w:outlineLvl w:val="0"/>
        <w:rPr>
          <w:sz w:val="22"/>
          <w:szCs w:val="22"/>
        </w:rPr>
      </w:pPr>
      <w:r>
        <w:rPr>
          <w:sz w:val="22"/>
          <w:szCs w:val="22"/>
        </w:rPr>
        <w:t>HB 21-1129: extension</w:t>
      </w:r>
      <w:r w:rsidR="00913EB6">
        <w:rPr>
          <w:sz w:val="22"/>
          <w:szCs w:val="22"/>
        </w:rPr>
        <w:t xml:space="preserve"> of deadline </w:t>
      </w:r>
      <w:r>
        <w:rPr>
          <w:sz w:val="22"/>
          <w:szCs w:val="22"/>
        </w:rPr>
        <w:t>for READ Act requirements</w:t>
      </w:r>
    </w:p>
    <w:p w14:paraId="1FFD1144" w14:textId="465F1477" w:rsidR="00310543" w:rsidRDefault="00310543" w:rsidP="00EA1490">
      <w:pPr>
        <w:pStyle w:val="body"/>
        <w:numPr>
          <w:ilvl w:val="0"/>
          <w:numId w:val="15"/>
        </w:numPr>
        <w:spacing w:line="240" w:lineRule="auto"/>
        <w:ind w:right="-360"/>
        <w:outlineLvl w:val="0"/>
        <w:rPr>
          <w:sz w:val="22"/>
          <w:szCs w:val="22"/>
        </w:rPr>
      </w:pPr>
      <w:r>
        <w:rPr>
          <w:sz w:val="22"/>
          <w:szCs w:val="22"/>
        </w:rPr>
        <w:t xml:space="preserve">SB 21-017: </w:t>
      </w:r>
      <w:r w:rsidR="00913EB6">
        <w:rPr>
          <w:sz w:val="22"/>
          <w:szCs w:val="22"/>
        </w:rPr>
        <w:t xml:space="preserve">addition of </w:t>
      </w:r>
      <w:r w:rsidR="00DD035E">
        <w:rPr>
          <w:sz w:val="22"/>
          <w:szCs w:val="22"/>
        </w:rPr>
        <w:t>sexual assault/</w:t>
      </w:r>
      <w:r>
        <w:rPr>
          <w:sz w:val="22"/>
          <w:szCs w:val="22"/>
        </w:rPr>
        <w:t>misd</w:t>
      </w:r>
      <w:r w:rsidR="00913EB6">
        <w:rPr>
          <w:sz w:val="22"/>
          <w:szCs w:val="22"/>
        </w:rPr>
        <w:t>e</w:t>
      </w:r>
      <w:r>
        <w:rPr>
          <w:sz w:val="22"/>
          <w:szCs w:val="22"/>
        </w:rPr>
        <w:t>m</w:t>
      </w:r>
      <w:r w:rsidR="00913EB6">
        <w:rPr>
          <w:sz w:val="22"/>
          <w:szCs w:val="22"/>
        </w:rPr>
        <w:t>ea</w:t>
      </w:r>
      <w:r>
        <w:rPr>
          <w:sz w:val="22"/>
          <w:szCs w:val="22"/>
        </w:rPr>
        <w:t>nor abuse of public trust by an educator</w:t>
      </w:r>
    </w:p>
    <w:p w14:paraId="1E4F6A68" w14:textId="1456A898" w:rsidR="00310543" w:rsidRDefault="00310543" w:rsidP="00EA1490">
      <w:pPr>
        <w:pStyle w:val="body"/>
        <w:numPr>
          <w:ilvl w:val="0"/>
          <w:numId w:val="15"/>
        </w:numPr>
        <w:spacing w:line="240" w:lineRule="auto"/>
        <w:ind w:right="-360"/>
        <w:outlineLvl w:val="0"/>
        <w:rPr>
          <w:sz w:val="22"/>
          <w:szCs w:val="22"/>
        </w:rPr>
      </w:pPr>
      <w:r>
        <w:rPr>
          <w:sz w:val="22"/>
          <w:szCs w:val="22"/>
        </w:rPr>
        <w:t xml:space="preserve">SB 21-058: allowance of entities to </w:t>
      </w:r>
      <w:r w:rsidR="00EA1490">
        <w:rPr>
          <w:sz w:val="22"/>
          <w:szCs w:val="22"/>
        </w:rPr>
        <w:t>establish alternative</w:t>
      </w:r>
      <w:r>
        <w:rPr>
          <w:sz w:val="22"/>
          <w:szCs w:val="22"/>
        </w:rPr>
        <w:t xml:space="preserve"> principal preparation programs </w:t>
      </w:r>
    </w:p>
    <w:p w14:paraId="3AE175F3" w14:textId="787C59BF" w:rsidR="00310543" w:rsidRDefault="00310543" w:rsidP="00EA1490">
      <w:pPr>
        <w:pStyle w:val="body"/>
        <w:numPr>
          <w:ilvl w:val="0"/>
          <w:numId w:val="15"/>
        </w:numPr>
        <w:spacing w:line="240" w:lineRule="auto"/>
        <w:ind w:right="-360"/>
        <w:outlineLvl w:val="0"/>
        <w:rPr>
          <w:sz w:val="22"/>
          <w:szCs w:val="22"/>
        </w:rPr>
      </w:pPr>
      <w:r>
        <w:rPr>
          <w:sz w:val="22"/>
          <w:szCs w:val="22"/>
        </w:rPr>
        <w:t xml:space="preserve">SB 21-077: elimination of lawful presence as a </w:t>
      </w:r>
      <w:r w:rsidR="00913EB6">
        <w:rPr>
          <w:sz w:val="22"/>
          <w:szCs w:val="22"/>
        </w:rPr>
        <w:t xml:space="preserve">identification requirement for </w:t>
      </w:r>
      <w:r>
        <w:rPr>
          <w:sz w:val="22"/>
          <w:szCs w:val="22"/>
        </w:rPr>
        <w:t xml:space="preserve">licensure </w:t>
      </w:r>
    </w:p>
    <w:p w14:paraId="3874B226" w14:textId="406A9B5F" w:rsidR="00310543" w:rsidRDefault="00310543" w:rsidP="00EA1490">
      <w:pPr>
        <w:pStyle w:val="body"/>
        <w:numPr>
          <w:ilvl w:val="0"/>
          <w:numId w:val="15"/>
        </w:numPr>
        <w:spacing w:line="240" w:lineRule="auto"/>
        <w:ind w:right="-360"/>
        <w:outlineLvl w:val="0"/>
        <w:rPr>
          <w:sz w:val="22"/>
          <w:szCs w:val="22"/>
        </w:rPr>
      </w:pPr>
      <w:r>
        <w:rPr>
          <w:sz w:val="22"/>
          <w:szCs w:val="22"/>
        </w:rPr>
        <w:t xml:space="preserve">SB 21-185: expansion of allowances for the issuance of an adjunct authorization; creation of the department’s first </w:t>
      </w:r>
      <w:r w:rsidR="00DD035E">
        <w:rPr>
          <w:sz w:val="22"/>
          <w:szCs w:val="22"/>
        </w:rPr>
        <w:t>legislated</w:t>
      </w:r>
      <w:r>
        <w:rPr>
          <w:sz w:val="22"/>
          <w:szCs w:val="22"/>
        </w:rPr>
        <w:t xml:space="preserve"> education recruitment and retention</w:t>
      </w:r>
      <w:r w:rsidR="00EA1490">
        <w:rPr>
          <w:sz w:val="22"/>
          <w:szCs w:val="22"/>
        </w:rPr>
        <w:t xml:space="preserve"> effort</w:t>
      </w:r>
    </w:p>
    <w:p w14:paraId="6B7986F9" w14:textId="1105AA02" w:rsidR="00DD035E" w:rsidRDefault="00DD035E" w:rsidP="00EA1490">
      <w:pPr>
        <w:pStyle w:val="body"/>
        <w:numPr>
          <w:ilvl w:val="0"/>
          <w:numId w:val="15"/>
        </w:numPr>
        <w:spacing w:line="240" w:lineRule="auto"/>
        <w:ind w:right="-360"/>
        <w:outlineLvl w:val="0"/>
        <w:rPr>
          <w:sz w:val="22"/>
          <w:szCs w:val="22"/>
        </w:rPr>
      </w:pPr>
      <w:r>
        <w:rPr>
          <w:sz w:val="22"/>
          <w:szCs w:val="22"/>
        </w:rPr>
        <w:t>SB 21-268: additional conviction for which a license may be denied, suspended or revoked</w:t>
      </w:r>
    </w:p>
    <w:p w14:paraId="1B369DAD" w14:textId="0DC30502" w:rsidR="00EA1490" w:rsidRDefault="00EA1490" w:rsidP="00EA1490">
      <w:pPr>
        <w:pStyle w:val="body"/>
        <w:spacing w:line="240" w:lineRule="auto"/>
        <w:ind w:left="180" w:right="-360"/>
        <w:outlineLvl w:val="0"/>
        <w:rPr>
          <w:sz w:val="22"/>
          <w:szCs w:val="22"/>
        </w:rPr>
      </w:pPr>
    </w:p>
    <w:p w14:paraId="0DA3D9BF" w14:textId="01AE6F2A" w:rsidR="00EA1490" w:rsidRPr="00EA1490" w:rsidRDefault="00EA1490" w:rsidP="00EA1490">
      <w:pPr>
        <w:pStyle w:val="body"/>
        <w:spacing w:line="240" w:lineRule="auto"/>
        <w:ind w:right="-360"/>
        <w:outlineLvl w:val="0"/>
        <w:rPr>
          <w:sz w:val="22"/>
          <w:szCs w:val="22"/>
        </w:rPr>
      </w:pPr>
      <w:r>
        <w:rPr>
          <w:sz w:val="22"/>
          <w:szCs w:val="22"/>
        </w:rPr>
        <w:t>The rules</w:t>
      </w:r>
      <w:r w:rsidR="00913EB6">
        <w:rPr>
          <w:sz w:val="22"/>
          <w:szCs w:val="22"/>
        </w:rPr>
        <w:t xml:space="preserve"> revision also includes:</w:t>
      </w:r>
    </w:p>
    <w:p w14:paraId="72401C0F" w14:textId="77777777" w:rsidR="00EA1490" w:rsidRDefault="00EF7C23" w:rsidP="00EA1490">
      <w:pPr>
        <w:pStyle w:val="body"/>
        <w:numPr>
          <w:ilvl w:val="1"/>
          <w:numId w:val="18"/>
        </w:numPr>
        <w:spacing w:line="240" w:lineRule="auto"/>
        <w:ind w:left="720" w:right="-360"/>
        <w:outlineLvl w:val="0"/>
        <w:rPr>
          <w:sz w:val="22"/>
          <w:szCs w:val="22"/>
        </w:rPr>
      </w:pPr>
      <w:r w:rsidRPr="00310543">
        <w:rPr>
          <w:sz w:val="22"/>
          <w:szCs w:val="22"/>
        </w:rPr>
        <w:t>Align</w:t>
      </w:r>
      <w:r w:rsidR="00DD035E">
        <w:rPr>
          <w:sz w:val="22"/>
          <w:szCs w:val="22"/>
        </w:rPr>
        <w:t>ment</w:t>
      </w:r>
      <w:r w:rsidRPr="00310543">
        <w:rPr>
          <w:sz w:val="22"/>
          <w:szCs w:val="22"/>
        </w:rPr>
        <w:t xml:space="preserve"> and reduc</w:t>
      </w:r>
      <w:r w:rsidR="00DD035E">
        <w:rPr>
          <w:sz w:val="22"/>
          <w:szCs w:val="22"/>
        </w:rPr>
        <w:t>tion of language usage</w:t>
      </w:r>
      <w:r w:rsidRPr="00310543">
        <w:rPr>
          <w:sz w:val="22"/>
          <w:szCs w:val="22"/>
        </w:rPr>
        <w:t xml:space="preserve"> redundancies </w:t>
      </w:r>
      <w:r w:rsidR="00DD035E">
        <w:rPr>
          <w:sz w:val="22"/>
          <w:szCs w:val="22"/>
        </w:rPr>
        <w:t>throughout</w:t>
      </w:r>
    </w:p>
    <w:p w14:paraId="582327A8" w14:textId="20815866" w:rsidR="00EF7C23" w:rsidRDefault="00EF7C23" w:rsidP="00EA1490">
      <w:pPr>
        <w:pStyle w:val="body"/>
        <w:numPr>
          <w:ilvl w:val="1"/>
          <w:numId w:val="18"/>
        </w:numPr>
        <w:spacing w:line="240" w:lineRule="auto"/>
        <w:ind w:left="720" w:right="-360"/>
        <w:outlineLvl w:val="0"/>
        <w:rPr>
          <w:sz w:val="22"/>
          <w:szCs w:val="22"/>
        </w:rPr>
      </w:pPr>
      <w:r w:rsidRPr="00EA1490">
        <w:rPr>
          <w:sz w:val="22"/>
          <w:szCs w:val="22"/>
        </w:rPr>
        <w:t>Ensur</w:t>
      </w:r>
      <w:r w:rsidR="00DD035E" w:rsidRPr="00EA1490">
        <w:rPr>
          <w:sz w:val="22"/>
          <w:szCs w:val="22"/>
        </w:rPr>
        <w:t>ance of</w:t>
      </w:r>
      <w:r w:rsidRPr="00EA1490">
        <w:rPr>
          <w:sz w:val="22"/>
          <w:szCs w:val="22"/>
        </w:rPr>
        <w:t xml:space="preserve"> statutory alignment of language to the rules </w:t>
      </w:r>
    </w:p>
    <w:p w14:paraId="1D28F8BB" w14:textId="750F1911" w:rsidR="00EA1490" w:rsidRPr="00EA1490" w:rsidRDefault="00EA1490" w:rsidP="00EA1490">
      <w:pPr>
        <w:pStyle w:val="body"/>
        <w:numPr>
          <w:ilvl w:val="1"/>
          <w:numId w:val="18"/>
        </w:numPr>
        <w:spacing w:line="240" w:lineRule="auto"/>
        <w:ind w:left="720" w:right="-360"/>
        <w:outlineLvl w:val="0"/>
        <w:rPr>
          <w:sz w:val="22"/>
          <w:szCs w:val="22"/>
        </w:rPr>
      </w:pPr>
      <w:r>
        <w:rPr>
          <w:sz w:val="22"/>
          <w:szCs w:val="22"/>
        </w:rPr>
        <w:t>Correct number and references</w:t>
      </w:r>
    </w:p>
    <w:p w14:paraId="5F7A7056" w14:textId="79C57C40" w:rsidR="00EF7C23" w:rsidRDefault="00EF7C23" w:rsidP="00EA1490">
      <w:pPr>
        <w:pStyle w:val="body"/>
        <w:spacing w:line="240" w:lineRule="auto"/>
        <w:ind w:right="-360"/>
        <w:outlineLvl w:val="0"/>
        <w:rPr>
          <w:sz w:val="22"/>
          <w:szCs w:val="22"/>
        </w:rPr>
      </w:pPr>
      <w:r w:rsidRPr="00EF7C23">
        <w:rPr>
          <w:sz w:val="22"/>
          <w:szCs w:val="22"/>
        </w:rPr>
        <w:t xml:space="preserve"> </w:t>
      </w:r>
    </w:p>
    <w:p w14:paraId="117B5502" w14:textId="283C8D0D" w:rsidR="007B229F" w:rsidRDefault="007B229F" w:rsidP="00EA1490">
      <w:pPr>
        <w:pStyle w:val="body"/>
        <w:spacing w:line="240" w:lineRule="auto"/>
        <w:ind w:right="-360"/>
        <w:outlineLvl w:val="0"/>
        <w:rPr>
          <w:sz w:val="22"/>
          <w:szCs w:val="22"/>
        </w:rPr>
      </w:pPr>
      <w:r>
        <w:rPr>
          <w:sz w:val="22"/>
          <w:szCs w:val="22"/>
        </w:rPr>
        <w:t>The</w:t>
      </w:r>
      <w:r w:rsidR="00EF7C23" w:rsidRPr="00EF7C23">
        <w:rPr>
          <w:sz w:val="22"/>
          <w:szCs w:val="22"/>
        </w:rPr>
        <w:t xml:space="preserve"> document package for the State Board of Education </w:t>
      </w:r>
      <w:r>
        <w:rPr>
          <w:sz w:val="22"/>
          <w:szCs w:val="22"/>
        </w:rPr>
        <w:t>includes</w:t>
      </w:r>
      <w:r w:rsidR="00EF7C23" w:rsidRPr="00EF7C23">
        <w:rPr>
          <w:sz w:val="22"/>
          <w:szCs w:val="22"/>
        </w:rPr>
        <w:t xml:space="preserve">: </w:t>
      </w:r>
    </w:p>
    <w:p w14:paraId="523A6614" w14:textId="77777777" w:rsidR="00EA1490" w:rsidRDefault="009E06FD" w:rsidP="00EA1490">
      <w:pPr>
        <w:pStyle w:val="body"/>
        <w:numPr>
          <w:ilvl w:val="0"/>
          <w:numId w:val="17"/>
        </w:numPr>
        <w:spacing w:line="240" w:lineRule="auto"/>
        <w:ind w:right="-360"/>
        <w:outlineLvl w:val="0"/>
        <w:rPr>
          <w:sz w:val="22"/>
          <w:szCs w:val="22"/>
        </w:rPr>
      </w:pPr>
      <w:r>
        <w:rPr>
          <w:sz w:val="22"/>
          <w:szCs w:val="22"/>
        </w:rPr>
        <w:t xml:space="preserve">Clean version of the </w:t>
      </w:r>
      <w:r w:rsidR="00EA1490">
        <w:rPr>
          <w:sz w:val="22"/>
          <w:szCs w:val="22"/>
        </w:rPr>
        <w:t>rules</w:t>
      </w:r>
    </w:p>
    <w:p w14:paraId="118960DD" w14:textId="0E25910D" w:rsidR="007B229F" w:rsidRDefault="00EF7C23" w:rsidP="00EA1490">
      <w:pPr>
        <w:pStyle w:val="body"/>
        <w:numPr>
          <w:ilvl w:val="0"/>
          <w:numId w:val="17"/>
        </w:numPr>
        <w:spacing w:line="240" w:lineRule="auto"/>
        <w:ind w:right="-360"/>
        <w:outlineLvl w:val="0"/>
        <w:rPr>
          <w:sz w:val="22"/>
          <w:szCs w:val="22"/>
        </w:rPr>
      </w:pPr>
      <w:r w:rsidRPr="00EF7C23">
        <w:rPr>
          <w:sz w:val="22"/>
          <w:szCs w:val="22"/>
        </w:rPr>
        <w:t xml:space="preserve">Redlined version of the rules notating changes </w:t>
      </w:r>
    </w:p>
    <w:p w14:paraId="2E815CDE" w14:textId="77777777" w:rsidR="00B41B68" w:rsidRDefault="00EF7C23" w:rsidP="00EA1490">
      <w:pPr>
        <w:pStyle w:val="body"/>
        <w:numPr>
          <w:ilvl w:val="0"/>
          <w:numId w:val="17"/>
        </w:numPr>
        <w:spacing w:line="240" w:lineRule="auto"/>
        <w:ind w:right="-360"/>
        <w:outlineLvl w:val="0"/>
        <w:rPr>
          <w:sz w:val="22"/>
          <w:szCs w:val="22"/>
        </w:rPr>
      </w:pPr>
      <w:r w:rsidRPr="00EF7C23">
        <w:rPr>
          <w:sz w:val="22"/>
          <w:szCs w:val="22"/>
        </w:rPr>
        <w:t>Crosswalk of the rules aligned with statutory authority</w:t>
      </w:r>
    </w:p>
    <w:p w14:paraId="634A8D46" w14:textId="6BD06B8F" w:rsidR="007B229F" w:rsidRDefault="00B41B68" w:rsidP="00EA1490">
      <w:pPr>
        <w:pStyle w:val="body"/>
        <w:numPr>
          <w:ilvl w:val="0"/>
          <w:numId w:val="17"/>
        </w:numPr>
        <w:spacing w:line="240" w:lineRule="auto"/>
        <w:ind w:right="-360"/>
        <w:outlineLvl w:val="0"/>
        <w:rPr>
          <w:sz w:val="22"/>
          <w:szCs w:val="22"/>
        </w:rPr>
      </w:pPr>
      <w:r>
        <w:rPr>
          <w:sz w:val="22"/>
          <w:szCs w:val="22"/>
        </w:rPr>
        <w:t>PowerPoint presentation highlighting additions and amendments</w:t>
      </w:r>
      <w:r w:rsidR="00EF7C23" w:rsidRPr="00EF7C23">
        <w:rPr>
          <w:sz w:val="22"/>
          <w:szCs w:val="22"/>
        </w:rPr>
        <w:t xml:space="preserve"> </w:t>
      </w:r>
    </w:p>
    <w:p w14:paraId="1F0E96DB" w14:textId="77777777" w:rsidR="007B229F" w:rsidRDefault="007B229F" w:rsidP="00EA1490">
      <w:pPr>
        <w:pStyle w:val="body"/>
        <w:spacing w:line="240" w:lineRule="auto"/>
        <w:ind w:right="-360"/>
        <w:outlineLvl w:val="0"/>
        <w:rPr>
          <w:sz w:val="22"/>
          <w:szCs w:val="22"/>
        </w:rPr>
      </w:pPr>
    </w:p>
    <w:p w14:paraId="71564398" w14:textId="7D546791" w:rsidR="007B229F" w:rsidRDefault="00B41B68" w:rsidP="00EA1490">
      <w:pPr>
        <w:pStyle w:val="body"/>
        <w:spacing w:line="240" w:lineRule="auto"/>
        <w:ind w:right="-360"/>
        <w:outlineLvl w:val="0"/>
        <w:rPr>
          <w:sz w:val="22"/>
          <w:szCs w:val="22"/>
        </w:rPr>
      </w:pPr>
      <w:r>
        <w:rPr>
          <w:sz w:val="22"/>
          <w:szCs w:val="22"/>
        </w:rPr>
        <w:t>The ruleset is open for comment and will remain open until the November board meeting. The hearing for the rules will be held at the November meeting. A</w:t>
      </w:r>
      <w:r w:rsidR="007B229F">
        <w:rPr>
          <w:sz w:val="22"/>
          <w:szCs w:val="22"/>
        </w:rPr>
        <w:t xml:space="preserve"> s</w:t>
      </w:r>
      <w:r w:rsidR="00EF7C23" w:rsidRPr="00EF7C23">
        <w:rPr>
          <w:sz w:val="22"/>
          <w:szCs w:val="22"/>
        </w:rPr>
        <w:t xml:space="preserve">ummary of public comments received and CDE’s response to each comment </w:t>
      </w:r>
      <w:r w:rsidR="007B229F">
        <w:rPr>
          <w:sz w:val="22"/>
          <w:szCs w:val="22"/>
        </w:rPr>
        <w:t>will</w:t>
      </w:r>
      <w:r>
        <w:rPr>
          <w:sz w:val="22"/>
          <w:szCs w:val="22"/>
        </w:rPr>
        <w:t xml:space="preserve"> also</w:t>
      </w:r>
      <w:r w:rsidR="007B229F">
        <w:rPr>
          <w:sz w:val="22"/>
          <w:szCs w:val="22"/>
        </w:rPr>
        <w:t xml:space="preserve"> be provid</w:t>
      </w:r>
      <w:r>
        <w:rPr>
          <w:sz w:val="22"/>
          <w:szCs w:val="22"/>
        </w:rPr>
        <w:t xml:space="preserve">ed </w:t>
      </w:r>
      <w:r w:rsidR="007B229F">
        <w:rPr>
          <w:sz w:val="22"/>
          <w:szCs w:val="22"/>
        </w:rPr>
        <w:t xml:space="preserve">at the November </w:t>
      </w:r>
      <w:r>
        <w:rPr>
          <w:sz w:val="22"/>
          <w:szCs w:val="22"/>
        </w:rPr>
        <w:t xml:space="preserve">meeting. </w:t>
      </w:r>
    </w:p>
    <w:p w14:paraId="162F5F9E" w14:textId="1192480C" w:rsidR="00EE177D" w:rsidRPr="00EF7C23" w:rsidRDefault="00EE177D" w:rsidP="00EA1490">
      <w:pPr>
        <w:pStyle w:val="body"/>
        <w:spacing w:line="240" w:lineRule="auto"/>
        <w:ind w:right="-360"/>
        <w:outlineLvl w:val="0"/>
        <w:rPr>
          <w:noProof w:val="0"/>
          <w:color w:val="auto"/>
          <w:sz w:val="22"/>
          <w:szCs w:val="22"/>
        </w:rPr>
      </w:pPr>
    </w:p>
    <w:sectPr w:rsidR="00EE177D" w:rsidRPr="00EF7C23" w:rsidSect="009E230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AB9A" w14:textId="77777777" w:rsidR="000F200F" w:rsidRDefault="000F200F" w:rsidP="00AE3083">
      <w:pPr>
        <w:spacing w:after="0" w:line="240" w:lineRule="auto"/>
      </w:pPr>
      <w:r>
        <w:separator/>
      </w:r>
    </w:p>
  </w:endnote>
  <w:endnote w:type="continuationSeparator" w:id="0">
    <w:p w14:paraId="68EA1BD6" w14:textId="77777777" w:rsidR="000F200F" w:rsidRDefault="000F200F" w:rsidP="00AE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5FEB" w14:textId="77777777" w:rsidR="00AE3083" w:rsidRDefault="00AE3083" w:rsidP="00AE3083">
    <w:pPr>
      <w:pStyle w:val="Footer"/>
    </w:pPr>
    <w:r>
      <w:rPr>
        <w:noProof/>
      </w:rPr>
      <w:drawing>
        <wp:anchor distT="0" distB="0" distL="114300" distR="114300" simplePos="0" relativeHeight="251659264" behindDoc="0" locked="0" layoutInCell="1" allowOverlap="1" wp14:anchorId="5D4124BC" wp14:editId="272B37A9">
          <wp:simplePos x="0" y="0"/>
          <wp:positionH relativeFrom="column">
            <wp:posOffset>5442585</wp:posOffset>
          </wp:positionH>
          <wp:positionV relativeFrom="paragraph">
            <wp:posOffset>142240</wp:posOffset>
          </wp:positionV>
          <wp:extent cx="15240" cy="345440"/>
          <wp:effectExtent l="0" t="0" r="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1" layoutInCell="1" allowOverlap="1" wp14:anchorId="40030F6F" wp14:editId="5073E246">
              <wp:simplePos x="0" y="0"/>
              <wp:positionH relativeFrom="column">
                <wp:posOffset>0</wp:posOffset>
              </wp:positionH>
              <wp:positionV relativeFrom="page">
                <wp:posOffset>9144000</wp:posOffset>
              </wp:positionV>
              <wp:extent cx="5367655" cy="347345"/>
              <wp:effectExtent l="0" t="0" r="4445" b="14605"/>
              <wp:wrapSquare wrapText="bothSides"/>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D48B" w14:textId="77777777" w:rsidR="00AE3083" w:rsidRDefault="00AE3083" w:rsidP="00AE3083">
                          <w:pPr>
                            <w:pStyle w:val="returnaddressbottom"/>
                            <w:rPr>
                              <w:rFonts w:ascii="Times New Roman" w:hAnsi="Times New Roman"/>
                            </w:rPr>
                          </w:pPr>
                          <w:r>
                            <w:t>201 East Colfax Avenue</w:t>
                          </w:r>
                          <w:r w:rsidRPr="00CA6E16">
                            <w:t xml:space="preserve">, Denver, CO </w:t>
                          </w:r>
                          <w:r>
                            <w:t>80203-1799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303.830.0793</w:t>
                          </w:r>
                        </w:p>
                        <w:p w14:paraId="6A63C284" w14:textId="77777777" w:rsidR="00AE3083" w:rsidRPr="00CA6E16" w:rsidRDefault="00AE3083" w:rsidP="00AE3083">
                          <w:pPr>
                            <w:pStyle w:val="returnaddressbottom"/>
                          </w:pPr>
                          <w:r>
                            <w:t>Katy Anthes</w:t>
                          </w:r>
                          <w:r w:rsidR="00F6674C">
                            <w:t xml:space="preserve">, Ph.D., </w:t>
                          </w:r>
                          <w:r w:rsidRPr="00411E1E">
                            <w:t>Commissioner of Education</w:t>
                          </w:r>
                          <w:r>
                            <w:t xml:space="preserve"> | </w:t>
                          </w:r>
                          <w:r w:rsidRPr="00CA6E16">
                            <w:t>www.</w:t>
                          </w:r>
                          <w:r>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0F6F" id="_x0000_t202" coordsize="21600,21600" o:spt="202" path="m,l,21600r21600,l21600,xe">
              <v:stroke joinstyle="miter"/>
              <v:path gradientshapeok="t" o:connecttype="rect"/>
            </v:shapetype>
            <v:shape id="Text Box 28" o:spid="_x0000_s1026" type="#_x0000_t202" style="position:absolute;margin-left:0;margin-top:10in;width:422.6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" filled="f" stroked="f">
              <v:textbox inset="0,0,0,0">
                <w:txbxContent>
                  <w:p w14:paraId="5BA1D48B" w14:textId="77777777" w:rsidR="00AE3083" w:rsidRDefault="00AE3083" w:rsidP="00AE3083">
                    <w:pPr>
                      <w:pStyle w:val="returnaddressbottom"/>
                      <w:rPr>
                        <w:rFonts w:ascii="Times New Roman" w:hAnsi="Times New Roman"/>
                      </w:rPr>
                    </w:pPr>
                    <w:r>
                      <w:t>201 East Colfax Avenue</w:t>
                    </w:r>
                    <w:r w:rsidRPr="00CA6E16">
                      <w:t xml:space="preserve">, Denver, CO </w:t>
                    </w:r>
                    <w:r>
                      <w:t>80203-1799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303.830.0793</w:t>
                    </w:r>
                  </w:p>
                  <w:p w14:paraId="6A63C284" w14:textId="77777777" w:rsidR="00AE3083" w:rsidRPr="00CA6E16" w:rsidRDefault="00AE3083" w:rsidP="00AE3083">
                    <w:pPr>
                      <w:pStyle w:val="returnaddressbottom"/>
                    </w:pPr>
                    <w:r>
                      <w:t>Katy Anthes</w:t>
                    </w:r>
                    <w:r w:rsidR="00F6674C">
                      <w:t xml:space="preserve">, Ph.D., </w:t>
                    </w:r>
                    <w:r w:rsidRPr="00411E1E">
                      <w:t>Commissioner of Education</w:t>
                    </w:r>
                    <w:r>
                      <w:t xml:space="preserve"> | </w:t>
                    </w:r>
                    <w:r w:rsidRPr="00CA6E16">
                      <w:t>www.</w:t>
                    </w:r>
                    <w:r>
                      <w:t>cde.state.co.us</w:t>
                    </w:r>
                  </w:p>
                </w:txbxContent>
              </v:textbox>
              <w10:wrap type="square" anchory="page"/>
              <w10:anchorlock/>
            </v:shape>
          </w:pict>
        </mc:Fallback>
      </mc:AlternateContent>
    </w:r>
    <w:r>
      <w:rPr>
        <w:noProof/>
      </w:rPr>
      <w:drawing>
        <wp:anchor distT="0" distB="0" distL="114300" distR="114300" simplePos="0" relativeHeight="251660288" behindDoc="0" locked="1" layoutInCell="1" allowOverlap="1" wp14:anchorId="08BC862D" wp14:editId="437431A8">
          <wp:simplePos x="0" y="0"/>
          <wp:positionH relativeFrom="column">
            <wp:posOffset>5575300</wp:posOffset>
          </wp:positionH>
          <wp:positionV relativeFrom="paragraph">
            <wp:posOffset>8255</wp:posOffset>
          </wp:positionV>
          <wp:extent cx="72771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726A8393" w14:textId="77777777" w:rsidR="00AE3083" w:rsidRDefault="00AE308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1DD2" w14:textId="77777777" w:rsidR="000F200F" w:rsidRDefault="000F200F" w:rsidP="00AE3083">
      <w:pPr>
        <w:spacing w:after="0" w:line="240" w:lineRule="auto"/>
      </w:pPr>
      <w:r>
        <w:separator/>
      </w:r>
    </w:p>
  </w:footnote>
  <w:footnote w:type="continuationSeparator" w:id="0">
    <w:p w14:paraId="0235D10E" w14:textId="77777777" w:rsidR="000F200F" w:rsidRDefault="000F200F" w:rsidP="00AE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D233" w14:textId="5E416AC2" w:rsidR="009E230E" w:rsidRDefault="009E230E" w:rsidP="009E230E">
    <w:pPr>
      <w:pStyle w:val="Header"/>
      <w:tabs>
        <w:tab w:val="left" w:pos="0"/>
      </w:tabs>
      <w:jc w:val="both"/>
      <w:rPr>
        <w:rFonts w:ascii="Trebuchet MS" w:hAnsi="Trebuchet MS"/>
        <w:b/>
        <w:bCs/>
      </w:rPr>
    </w:pPr>
    <w:r>
      <w:rPr>
        <w:rFonts w:ascii="Trebuchet MS" w:hAnsi="Trebuchet MS"/>
        <w:b/>
        <w:bCs/>
      </w:rPr>
      <w:t>Memo</w:t>
    </w:r>
    <w:r>
      <w:rPr>
        <w:rFonts w:ascii="Trebuchet MS" w:hAnsi="Trebuchet MS"/>
        <w:b/>
        <w:bCs/>
      </w:rPr>
      <w:tab/>
      <w:t>Initial Emergency Authorization Requests</w:t>
    </w:r>
    <w:r>
      <w:rPr>
        <w:rFonts w:ascii="Trebuchet MS" w:hAnsi="Trebuchet MS"/>
        <w:b/>
        <w:bCs/>
      </w:rPr>
      <w:tab/>
      <w:t>Page 2</w:t>
    </w:r>
  </w:p>
  <w:p w14:paraId="5ABADE41" w14:textId="2BAE92EF" w:rsidR="007855AF" w:rsidRDefault="0078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2673" w14:textId="4E894AD9" w:rsidR="009E230E" w:rsidRDefault="009E230E">
    <w:pPr>
      <w:pStyle w:val="Header"/>
    </w:pPr>
    <w:r>
      <w:object w:dxaOrig="7856" w:dyaOrig="1537" w14:anchorId="6347A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57.75pt">
          <v:imagedata r:id="rId1" o:title=""/>
        </v:shape>
        <o:OLEObject Type="Embed" ProgID="Visio.Drawing.11" ShapeID="_x0000_i1025" DrawAspect="Content" ObjectID="_169441904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EA"/>
    <w:multiLevelType w:val="hybridMultilevel"/>
    <w:tmpl w:val="E5FA64CC"/>
    <w:lvl w:ilvl="0" w:tplc="E6BC67A6">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27FA"/>
    <w:multiLevelType w:val="hybridMultilevel"/>
    <w:tmpl w:val="A150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72299"/>
    <w:multiLevelType w:val="hybridMultilevel"/>
    <w:tmpl w:val="DC7A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93F03"/>
    <w:multiLevelType w:val="hybridMultilevel"/>
    <w:tmpl w:val="56F2F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D1544"/>
    <w:multiLevelType w:val="hybridMultilevel"/>
    <w:tmpl w:val="08B0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C0576"/>
    <w:multiLevelType w:val="hybridMultilevel"/>
    <w:tmpl w:val="AEEA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2BDB"/>
    <w:multiLevelType w:val="hybridMultilevel"/>
    <w:tmpl w:val="6A38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B4D88"/>
    <w:multiLevelType w:val="hybridMultilevel"/>
    <w:tmpl w:val="547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F5242"/>
    <w:multiLevelType w:val="hybridMultilevel"/>
    <w:tmpl w:val="4914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40A01"/>
    <w:multiLevelType w:val="hybridMultilevel"/>
    <w:tmpl w:val="8FF0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02654"/>
    <w:multiLevelType w:val="hybridMultilevel"/>
    <w:tmpl w:val="FE3E2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C87ABB"/>
    <w:multiLevelType w:val="hybridMultilevel"/>
    <w:tmpl w:val="CFCA3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C43"/>
    <w:multiLevelType w:val="hybridMultilevel"/>
    <w:tmpl w:val="D2B8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F571C"/>
    <w:multiLevelType w:val="hybridMultilevel"/>
    <w:tmpl w:val="13785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379D0"/>
    <w:multiLevelType w:val="hybridMultilevel"/>
    <w:tmpl w:val="FA1C9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31C6A"/>
    <w:multiLevelType w:val="hybridMultilevel"/>
    <w:tmpl w:val="BB68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692C88"/>
    <w:multiLevelType w:val="hybridMultilevel"/>
    <w:tmpl w:val="09F6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74C80"/>
    <w:multiLevelType w:val="hybridMultilevel"/>
    <w:tmpl w:val="61D8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5"/>
  </w:num>
  <w:num w:numId="5">
    <w:abstractNumId w:val="3"/>
  </w:num>
  <w:num w:numId="6">
    <w:abstractNumId w:val="14"/>
  </w:num>
  <w:num w:numId="7">
    <w:abstractNumId w:val="15"/>
  </w:num>
  <w:num w:numId="8">
    <w:abstractNumId w:val="9"/>
  </w:num>
  <w:num w:numId="9">
    <w:abstractNumId w:val="4"/>
  </w:num>
  <w:num w:numId="10">
    <w:abstractNumId w:val="13"/>
  </w:num>
  <w:num w:numId="11">
    <w:abstractNumId w:val="17"/>
  </w:num>
  <w:num w:numId="12">
    <w:abstractNumId w:val="8"/>
  </w:num>
  <w:num w:numId="13">
    <w:abstractNumId w:val="10"/>
  </w:num>
  <w:num w:numId="14">
    <w:abstractNumId w:val="6"/>
  </w:num>
  <w:num w:numId="15">
    <w:abstractNumId w:val="11"/>
  </w:num>
  <w:num w:numId="16">
    <w:abstractNumId w:val="7"/>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49"/>
    <w:rsid w:val="00004F7A"/>
    <w:rsid w:val="00040559"/>
    <w:rsid w:val="000F200F"/>
    <w:rsid w:val="001049FA"/>
    <w:rsid w:val="001F5F17"/>
    <w:rsid w:val="002248F1"/>
    <w:rsid w:val="002272D9"/>
    <w:rsid w:val="002316B7"/>
    <w:rsid w:val="00250EAF"/>
    <w:rsid w:val="00251B51"/>
    <w:rsid w:val="002C1AEC"/>
    <w:rsid w:val="002C5964"/>
    <w:rsid w:val="00301349"/>
    <w:rsid w:val="00310543"/>
    <w:rsid w:val="003105A1"/>
    <w:rsid w:val="003D25B2"/>
    <w:rsid w:val="004B3D24"/>
    <w:rsid w:val="005A187D"/>
    <w:rsid w:val="006D4D2D"/>
    <w:rsid w:val="006F251C"/>
    <w:rsid w:val="00772F16"/>
    <w:rsid w:val="00784FFF"/>
    <w:rsid w:val="007855AF"/>
    <w:rsid w:val="00796DBF"/>
    <w:rsid w:val="007B109B"/>
    <w:rsid w:val="007B229F"/>
    <w:rsid w:val="007F1DF6"/>
    <w:rsid w:val="00866D66"/>
    <w:rsid w:val="008C6059"/>
    <w:rsid w:val="00913EB6"/>
    <w:rsid w:val="009209C1"/>
    <w:rsid w:val="009547A7"/>
    <w:rsid w:val="00980C20"/>
    <w:rsid w:val="009E06FD"/>
    <w:rsid w:val="009E230E"/>
    <w:rsid w:val="00A319DA"/>
    <w:rsid w:val="00A87B81"/>
    <w:rsid w:val="00AA4225"/>
    <w:rsid w:val="00AD226D"/>
    <w:rsid w:val="00AE3083"/>
    <w:rsid w:val="00AE6752"/>
    <w:rsid w:val="00B23BC7"/>
    <w:rsid w:val="00B41B68"/>
    <w:rsid w:val="00BD1237"/>
    <w:rsid w:val="00C16B3D"/>
    <w:rsid w:val="00C536BF"/>
    <w:rsid w:val="00C6230B"/>
    <w:rsid w:val="00C7359B"/>
    <w:rsid w:val="00C90240"/>
    <w:rsid w:val="00C92402"/>
    <w:rsid w:val="00C9449F"/>
    <w:rsid w:val="00CA13D0"/>
    <w:rsid w:val="00CE7291"/>
    <w:rsid w:val="00CF03C0"/>
    <w:rsid w:val="00D16351"/>
    <w:rsid w:val="00D95C96"/>
    <w:rsid w:val="00DD035E"/>
    <w:rsid w:val="00DF766A"/>
    <w:rsid w:val="00E30EDD"/>
    <w:rsid w:val="00E437D3"/>
    <w:rsid w:val="00E77966"/>
    <w:rsid w:val="00E82197"/>
    <w:rsid w:val="00EA1490"/>
    <w:rsid w:val="00EA662B"/>
    <w:rsid w:val="00EE177D"/>
    <w:rsid w:val="00EF7C23"/>
    <w:rsid w:val="00F40A73"/>
    <w:rsid w:val="00F6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389D"/>
  <w15:chartTrackingRefBased/>
  <w15:docId w15:val="{B4C8DB8A-2D5D-4A84-8BF6-834590D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349"/>
    <w:rPr>
      <w:color w:val="808080"/>
    </w:rPr>
  </w:style>
  <w:style w:type="paragraph" w:styleId="ListParagraph">
    <w:name w:val="List Paragraph"/>
    <w:basedOn w:val="Normal"/>
    <w:uiPriority w:val="34"/>
    <w:qFormat/>
    <w:rsid w:val="00EE177D"/>
    <w:pPr>
      <w:ind w:left="720"/>
      <w:contextualSpacing/>
    </w:pPr>
  </w:style>
  <w:style w:type="paragraph" w:styleId="Header">
    <w:name w:val="header"/>
    <w:basedOn w:val="Normal"/>
    <w:link w:val="HeaderChar"/>
    <w:uiPriority w:val="99"/>
    <w:unhideWhenUsed/>
    <w:rsid w:val="00AE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083"/>
  </w:style>
  <w:style w:type="paragraph" w:styleId="Footer">
    <w:name w:val="footer"/>
    <w:basedOn w:val="Normal"/>
    <w:link w:val="FooterChar"/>
    <w:uiPriority w:val="99"/>
    <w:unhideWhenUsed/>
    <w:rsid w:val="00AE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83"/>
  </w:style>
  <w:style w:type="character" w:styleId="Hyperlink">
    <w:name w:val="Hyperlink"/>
    <w:basedOn w:val="DefaultParagraphFont"/>
    <w:uiPriority w:val="99"/>
    <w:semiHidden/>
    <w:unhideWhenUsed/>
    <w:rsid w:val="00AE3083"/>
    <w:rPr>
      <w:color w:val="0563C1"/>
      <w:u w:val="single"/>
    </w:rPr>
  </w:style>
  <w:style w:type="paragraph" w:customStyle="1" w:styleId="returnaddressbottom">
    <w:name w:val="return address bottom"/>
    <w:basedOn w:val="Normal"/>
    <w:qFormat/>
    <w:rsid w:val="00AE3083"/>
    <w:pPr>
      <w:spacing w:after="0" w:line="240" w:lineRule="exact"/>
      <w:jc w:val="right"/>
    </w:pPr>
    <w:rPr>
      <w:rFonts w:ascii="Trebuchet MS" w:hAnsi="Trebuchet MS" w:cs="Times New Roman"/>
      <w:color w:val="595959"/>
      <w:sz w:val="16"/>
      <w:szCs w:val="16"/>
    </w:rPr>
  </w:style>
  <w:style w:type="paragraph" w:customStyle="1" w:styleId="body">
    <w:name w:val="body"/>
    <w:basedOn w:val="Normal"/>
    <w:qFormat/>
    <w:rsid w:val="009E230E"/>
    <w:pPr>
      <w:spacing w:after="0" w:line="260" w:lineRule="exact"/>
      <w:ind w:right="720"/>
    </w:pPr>
    <w:rPr>
      <w:rFonts w:ascii="Trebuchet MS" w:eastAsiaTheme="minorEastAsia" w:hAnsi="Trebuchet MS" w:cs="Times New Roman"/>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693">
      <w:bodyDiv w:val="1"/>
      <w:marLeft w:val="0"/>
      <w:marRight w:val="0"/>
      <w:marTop w:val="0"/>
      <w:marBottom w:val="0"/>
      <w:divBdr>
        <w:top w:val="none" w:sz="0" w:space="0" w:color="auto"/>
        <w:left w:val="none" w:sz="0" w:space="0" w:color="auto"/>
        <w:bottom w:val="none" w:sz="0" w:space="0" w:color="auto"/>
        <w:right w:val="none" w:sz="0" w:space="0" w:color="auto"/>
      </w:divBdr>
    </w:div>
    <w:div w:id="602766928">
      <w:bodyDiv w:val="1"/>
      <w:marLeft w:val="0"/>
      <w:marRight w:val="0"/>
      <w:marTop w:val="0"/>
      <w:marBottom w:val="0"/>
      <w:divBdr>
        <w:top w:val="none" w:sz="0" w:space="0" w:color="auto"/>
        <w:left w:val="none" w:sz="0" w:space="0" w:color="auto"/>
        <w:bottom w:val="none" w:sz="0" w:space="0" w:color="auto"/>
        <w:right w:val="none" w:sz="0" w:space="0" w:color="auto"/>
      </w:divBdr>
    </w:div>
    <w:div w:id="1280143197">
      <w:bodyDiv w:val="1"/>
      <w:marLeft w:val="0"/>
      <w:marRight w:val="0"/>
      <w:marTop w:val="0"/>
      <w:marBottom w:val="0"/>
      <w:divBdr>
        <w:top w:val="none" w:sz="0" w:space="0" w:color="auto"/>
        <w:left w:val="none" w:sz="0" w:space="0" w:color="auto"/>
        <w:bottom w:val="none" w:sz="0" w:space="0" w:color="auto"/>
        <w:right w:val="none" w:sz="0" w:space="0" w:color="auto"/>
      </w:divBdr>
    </w:div>
    <w:div w:id="14559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GX52L12</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Lovato, Renee</dc:creator>
  <cp:keywords/>
  <dc:description/>
  <cp:lastModifiedBy>O'Neil, Colleen</cp:lastModifiedBy>
  <cp:revision>2</cp:revision>
  <dcterms:created xsi:type="dcterms:W3CDTF">2021-09-29T17:11:00Z</dcterms:created>
  <dcterms:modified xsi:type="dcterms:W3CDTF">2021-09-29T17:11:00Z</dcterms:modified>
</cp:coreProperties>
</file>