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9B" w:rsidRDefault="00664E9B" w:rsidP="00664E9B">
      <w:pPr>
        <w:pStyle w:val="Title"/>
        <w:pBdr>
          <w:bottom w:val="single" w:sz="8" w:space="31" w:color="4F81BD" w:themeColor="accent1"/>
        </w:pBdr>
      </w:pPr>
      <w:r w:rsidRPr="00165501">
        <w:rPr>
          <w:noProof/>
        </w:rPr>
        <w:drawing>
          <wp:inline distT="0" distB="0" distL="0" distR="0">
            <wp:extent cx="5943600" cy="165100"/>
            <wp:effectExtent l="19050" t="0" r="0" b="0"/>
            <wp:docPr id="10" name="Picture 1" descr="Okeef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eefe bar"/>
                    <pic:cNvPicPr>
                      <a:picLocks noChangeAspect="1" noChangeArrowheads="1"/>
                    </pic:cNvPicPr>
                  </pic:nvPicPr>
                  <pic:blipFill>
                    <a:blip r:embed="rId8" cstate="print">
                      <a:duotone>
                        <a:prstClr val="black"/>
                        <a:schemeClr val="accent1">
                          <a:tint val="45000"/>
                          <a:satMod val="400000"/>
                        </a:schemeClr>
                      </a:duotone>
                    </a:blip>
                    <a:srcRect/>
                    <a:stretch>
                      <a:fillRect/>
                    </a:stretch>
                  </pic:blipFill>
                  <pic:spPr bwMode="auto">
                    <a:xfrm>
                      <a:off x="0" y="0"/>
                      <a:ext cx="5943600" cy="165100"/>
                    </a:xfrm>
                    <a:prstGeom prst="rect">
                      <a:avLst/>
                    </a:prstGeom>
                    <a:noFill/>
                    <a:ln w="9525">
                      <a:noFill/>
                      <a:miter lim="800000"/>
                      <a:headEnd/>
                      <a:tailEnd/>
                    </a:ln>
                  </pic:spPr>
                </pic:pic>
              </a:graphicData>
            </a:graphic>
          </wp:inline>
        </w:drawing>
      </w:r>
    </w:p>
    <w:p w:rsidR="00664E9B" w:rsidRDefault="00664E9B" w:rsidP="00664E9B">
      <w:pPr>
        <w:pStyle w:val="Title"/>
      </w:pPr>
      <w:r>
        <w:t>Identifying Indicators for an Early Warning System</w:t>
      </w:r>
    </w:p>
    <w:p w:rsidR="00664E9B" w:rsidRDefault="00664E9B" w:rsidP="00664E9B"/>
    <w:p w:rsidR="00664E9B" w:rsidRDefault="00664E9B" w:rsidP="00664E9B">
      <w:pPr>
        <w:jc w:val="center"/>
        <w:rPr>
          <w:rFonts w:ascii="Arial" w:hAnsi="Arial" w:cs="Arial"/>
          <w:i/>
          <w:szCs w:val="24"/>
        </w:rPr>
      </w:pPr>
      <w:r w:rsidRPr="00960181">
        <w:rPr>
          <w:rFonts w:ascii="Arial" w:hAnsi="Arial" w:cs="Arial"/>
          <w:i/>
          <w:szCs w:val="24"/>
        </w:rPr>
        <w:t>Prepared for:</w:t>
      </w:r>
    </w:p>
    <w:p w:rsidR="00664E9B" w:rsidRPr="00FB3400" w:rsidRDefault="00664E9B" w:rsidP="00664E9B">
      <w:pPr>
        <w:spacing w:after="0" w:line="240" w:lineRule="auto"/>
        <w:jc w:val="center"/>
        <w:rPr>
          <w:rFonts w:ascii="Arial" w:hAnsi="Arial" w:cs="Arial"/>
          <w:szCs w:val="24"/>
        </w:rPr>
      </w:pPr>
      <w:r w:rsidRPr="00FB3400">
        <w:rPr>
          <w:rFonts w:ascii="Arial" w:hAnsi="Arial" w:cs="Arial"/>
          <w:szCs w:val="24"/>
        </w:rPr>
        <w:t xml:space="preserve">The Colorado </w:t>
      </w:r>
      <w:r w:rsidRPr="00664E9B">
        <w:rPr>
          <w:rFonts w:ascii="Arial" w:hAnsi="Arial" w:cs="Arial"/>
          <w:szCs w:val="24"/>
        </w:rPr>
        <w:t>Depa</w:t>
      </w:r>
      <w:r w:rsidRPr="00FB3400">
        <w:rPr>
          <w:rFonts w:ascii="Arial" w:hAnsi="Arial" w:cs="Arial"/>
          <w:szCs w:val="24"/>
        </w:rPr>
        <w:t>rtment of Education</w:t>
      </w:r>
    </w:p>
    <w:p w:rsidR="00664E9B" w:rsidRPr="00FB3400" w:rsidRDefault="00664E9B" w:rsidP="00664E9B">
      <w:pPr>
        <w:spacing w:after="0" w:line="240" w:lineRule="auto"/>
        <w:jc w:val="center"/>
        <w:rPr>
          <w:rFonts w:ascii="Arial" w:hAnsi="Arial" w:cs="Arial"/>
          <w:szCs w:val="24"/>
        </w:rPr>
      </w:pPr>
      <w:r w:rsidRPr="00FB3400">
        <w:rPr>
          <w:rFonts w:ascii="Arial" w:hAnsi="Arial" w:cs="Arial"/>
          <w:szCs w:val="24"/>
        </w:rPr>
        <w:t>201 East Colfax Ave</w:t>
      </w:r>
      <w:proofErr w:type="gramStart"/>
      <w:r w:rsidRPr="00FB3400">
        <w:rPr>
          <w:rFonts w:ascii="Arial" w:hAnsi="Arial" w:cs="Arial"/>
          <w:szCs w:val="24"/>
        </w:rPr>
        <w:t>.</w:t>
      </w:r>
      <w:proofErr w:type="gramEnd"/>
      <w:r w:rsidRPr="00FB3400">
        <w:rPr>
          <w:rFonts w:ascii="Arial" w:hAnsi="Arial" w:cs="Arial"/>
          <w:szCs w:val="24"/>
        </w:rPr>
        <w:br/>
        <w:t>Denver, CO 80203</w:t>
      </w:r>
    </w:p>
    <w:p w:rsidR="00664E9B" w:rsidRDefault="00664E9B" w:rsidP="00664E9B"/>
    <w:p w:rsidR="00664E9B" w:rsidRDefault="00664E9B" w:rsidP="00664E9B">
      <w:pPr>
        <w:spacing w:after="0" w:line="240" w:lineRule="auto"/>
        <w:jc w:val="center"/>
        <w:rPr>
          <w:rFonts w:ascii="Arial" w:hAnsi="Arial" w:cs="Arial"/>
          <w:szCs w:val="24"/>
        </w:rPr>
      </w:pPr>
      <w:r w:rsidRPr="00960181">
        <w:rPr>
          <w:rFonts w:ascii="Arial" w:hAnsi="Arial" w:cs="Arial"/>
          <w:i/>
          <w:szCs w:val="24"/>
        </w:rPr>
        <w:t>Prepared by:</w:t>
      </w:r>
      <w:r w:rsidRPr="00165501">
        <w:rPr>
          <w:rFonts w:ascii="Arial" w:hAnsi="Arial" w:cs="Arial"/>
          <w:szCs w:val="24"/>
        </w:rPr>
        <w:br/>
      </w:r>
    </w:p>
    <w:p w:rsidR="00664E9B" w:rsidRPr="00165501" w:rsidRDefault="00664E9B" w:rsidP="00664E9B">
      <w:pPr>
        <w:spacing w:after="0" w:line="240" w:lineRule="auto"/>
        <w:jc w:val="center"/>
        <w:rPr>
          <w:rFonts w:ascii="Arial" w:hAnsi="Arial" w:cs="Arial"/>
          <w:szCs w:val="24"/>
        </w:rPr>
      </w:pPr>
      <w:r w:rsidRPr="00165501">
        <w:rPr>
          <w:rFonts w:ascii="Arial" w:hAnsi="Arial" w:cs="Arial"/>
          <w:szCs w:val="24"/>
        </w:rPr>
        <w:t>REL Central</w:t>
      </w:r>
    </w:p>
    <w:p w:rsidR="00664E9B" w:rsidRPr="00165501" w:rsidRDefault="00664E9B" w:rsidP="00664E9B">
      <w:pPr>
        <w:spacing w:after="0" w:line="240" w:lineRule="auto"/>
        <w:jc w:val="center"/>
        <w:rPr>
          <w:rFonts w:ascii="Arial" w:hAnsi="Arial" w:cs="Arial"/>
          <w:szCs w:val="24"/>
        </w:rPr>
      </w:pPr>
      <w:proofErr w:type="gramStart"/>
      <w:r w:rsidRPr="00165501">
        <w:rPr>
          <w:rFonts w:ascii="Arial" w:hAnsi="Arial" w:cs="Arial"/>
          <w:szCs w:val="24"/>
        </w:rPr>
        <w:t>at</w:t>
      </w:r>
      <w:proofErr w:type="gramEnd"/>
    </w:p>
    <w:p w:rsidR="00664E9B" w:rsidRPr="00165501" w:rsidRDefault="00664E9B" w:rsidP="00664E9B">
      <w:pPr>
        <w:spacing w:after="0" w:line="240" w:lineRule="auto"/>
        <w:jc w:val="center"/>
        <w:rPr>
          <w:rFonts w:ascii="Arial" w:hAnsi="Arial" w:cs="Arial"/>
          <w:szCs w:val="24"/>
        </w:rPr>
      </w:pPr>
      <w:r w:rsidRPr="00165501">
        <w:rPr>
          <w:rFonts w:ascii="Arial" w:hAnsi="Arial" w:cs="Arial"/>
          <w:szCs w:val="24"/>
        </w:rPr>
        <w:t>Mid-continent Research for Education and Learning</w:t>
      </w:r>
    </w:p>
    <w:p w:rsidR="00664E9B" w:rsidRPr="00165501" w:rsidRDefault="00664E9B" w:rsidP="00664E9B">
      <w:pPr>
        <w:spacing w:after="0" w:line="240" w:lineRule="auto"/>
        <w:jc w:val="center"/>
        <w:rPr>
          <w:rFonts w:ascii="Arial" w:hAnsi="Arial" w:cs="Arial"/>
          <w:szCs w:val="24"/>
        </w:rPr>
      </w:pPr>
      <w:r w:rsidRPr="00165501">
        <w:rPr>
          <w:rFonts w:ascii="Arial" w:hAnsi="Arial" w:cs="Arial"/>
          <w:szCs w:val="24"/>
        </w:rPr>
        <w:t>4601 DTC Blvd., Ste. 500</w:t>
      </w:r>
    </w:p>
    <w:p w:rsidR="00664E9B" w:rsidRDefault="00664E9B" w:rsidP="00664E9B">
      <w:pPr>
        <w:spacing w:after="0" w:line="240" w:lineRule="auto"/>
        <w:jc w:val="center"/>
        <w:rPr>
          <w:rFonts w:ascii="Arial" w:hAnsi="Arial" w:cs="Arial"/>
          <w:szCs w:val="24"/>
        </w:rPr>
      </w:pPr>
      <w:r w:rsidRPr="00165501">
        <w:rPr>
          <w:rFonts w:ascii="Arial" w:hAnsi="Arial" w:cs="Arial"/>
          <w:szCs w:val="24"/>
        </w:rPr>
        <w:t>Denver, CO 80237</w:t>
      </w:r>
    </w:p>
    <w:p w:rsidR="00664E9B" w:rsidRDefault="00664E9B" w:rsidP="00664E9B">
      <w:pPr>
        <w:spacing w:after="0" w:line="240" w:lineRule="auto"/>
        <w:jc w:val="center"/>
        <w:rPr>
          <w:rFonts w:ascii="Arial" w:hAnsi="Arial" w:cs="Arial"/>
          <w:szCs w:val="24"/>
        </w:rPr>
      </w:pPr>
    </w:p>
    <w:p w:rsidR="00664E9B" w:rsidRDefault="00374649" w:rsidP="00664E9B">
      <w:pPr>
        <w:spacing w:after="0" w:line="240" w:lineRule="auto"/>
        <w:jc w:val="center"/>
        <w:rPr>
          <w:rFonts w:ascii="Arial" w:hAnsi="Arial" w:cs="Arial"/>
        </w:rPr>
      </w:pPr>
      <w:r>
        <w:rPr>
          <w:rFonts w:ascii="Arial" w:hAnsi="Arial" w:cs="Arial"/>
          <w:szCs w:val="24"/>
        </w:rPr>
        <w:t>December</w:t>
      </w:r>
      <w:r w:rsidR="00664E9B">
        <w:rPr>
          <w:rFonts w:ascii="Arial" w:hAnsi="Arial" w:cs="Arial"/>
          <w:szCs w:val="24"/>
        </w:rPr>
        <w:t xml:space="preserve"> 2011</w:t>
      </w:r>
    </w:p>
    <w:p w:rsidR="00664E9B" w:rsidRDefault="00664E9B" w:rsidP="00664E9B">
      <w:pPr>
        <w:jc w:val="center"/>
        <w:rPr>
          <w:rFonts w:ascii="Arial" w:hAnsi="Arial" w:cs="Arial"/>
        </w:rPr>
      </w:pPr>
    </w:p>
    <w:p w:rsidR="00664E9B" w:rsidRDefault="00664E9B" w:rsidP="00664E9B">
      <w:pPr>
        <w:jc w:val="center"/>
        <w:rPr>
          <w:rFonts w:ascii="Arial" w:hAnsi="Arial" w:cs="Arial"/>
        </w:rPr>
      </w:pPr>
    </w:p>
    <w:p w:rsidR="00664E9B" w:rsidRDefault="00664E9B" w:rsidP="00664E9B">
      <w:pPr>
        <w:jc w:val="center"/>
        <w:rPr>
          <w:rFonts w:ascii="Arial" w:hAnsi="Arial" w:cs="Arial"/>
        </w:rPr>
      </w:pPr>
    </w:p>
    <w:p w:rsidR="00664E9B" w:rsidRDefault="00664E9B" w:rsidP="00664E9B">
      <w:pPr>
        <w:spacing w:after="0" w:line="240" w:lineRule="auto"/>
      </w:pPr>
      <w:r>
        <w:rPr>
          <w:noProof/>
        </w:rPr>
        <w:drawing>
          <wp:inline distT="0" distB="0" distL="0" distR="0">
            <wp:extent cx="1987296" cy="1725168"/>
            <wp:effectExtent l="19050" t="0" r="0" b="0"/>
            <wp:docPr id="5" name="Picture 4" descr="REL-Central-McREL_circl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Central-McREL_circle_Green.jpg"/>
                    <pic:cNvPicPr/>
                  </pic:nvPicPr>
                  <pic:blipFill>
                    <a:blip r:embed="rId9" cstate="print"/>
                    <a:stretch>
                      <a:fillRect/>
                    </a:stretch>
                  </pic:blipFill>
                  <pic:spPr>
                    <a:xfrm>
                      <a:off x="0" y="0"/>
                      <a:ext cx="1987296" cy="1725168"/>
                    </a:xfrm>
                    <a:prstGeom prst="rect">
                      <a:avLst/>
                    </a:prstGeom>
                  </pic:spPr>
                </pic:pic>
              </a:graphicData>
            </a:graphic>
          </wp:inline>
        </w:drawing>
      </w:r>
      <w:r>
        <w:br w:type="page"/>
      </w:r>
    </w:p>
    <w:p w:rsidR="00664E9B" w:rsidRPr="004811C0" w:rsidRDefault="00664E9B" w:rsidP="00664E9B">
      <w:r w:rsidRPr="004811C0">
        <w:lastRenderedPageBreak/>
        <w:t xml:space="preserve">This project was prepared </w:t>
      </w:r>
      <w:r w:rsidR="00F23FF4">
        <w:t>under</w:t>
      </w:r>
      <w:r w:rsidRPr="004811C0">
        <w:t xml:space="preserve"> IES Contract ED-06-CO-0023 administered by</w:t>
      </w:r>
      <w:r w:rsidRPr="004811C0">
        <w:br/>
        <w:t>Mid-continent Research for Education and Learning. The content of the publication does not necessarily reflect the views or policies of IES or the U.S. Department of Education, nor does mention of trade names, commercial products, or organizations imply endorsement by the U.S. Government.</w:t>
      </w:r>
    </w:p>
    <w:p w:rsidR="00664E9B" w:rsidRDefault="00664E9B" w:rsidP="00664E9B">
      <w:r>
        <w:br w:type="page"/>
      </w:r>
    </w:p>
    <w:p w:rsidR="004278AC" w:rsidRPr="001F790C" w:rsidRDefault="004278AC" w:rsidP="001F790C">
      <w:pPr>
        <w:pStyle w:val="NoSpacing"/>
      </w:pPr>
    </w:p>
    <w:p w:rsidR="00B02596" w:rsidRDefault="00730643">
      <w:pPr>
        <w:pStyle w:val="Heading1"/>
        <w:spacing w:before="0" w:line="240" w:lineRule="auto"/>
        <w:jc w:val="center"/>
      </w:pPr>
      <w:r>
        <w:t>Background</w:t>
      </w:r>
    </w:p>
    <w:p w:rsidR="00B02596" w:rsidRDefault="00B02596">
      <w:pPr>
        <w:spacing w:after="0" w:line="240" w:lineRule="auto"/>
      </w:pPr>
    </w:p>
    <w:p w:rsidR="00F0085F" w:rsidRDefault="00F0085F" w:rsidP="00F0085F">
      <w:pPr>
        <w:pStyle w:val="NoSpacing"/>
      </w:pPr>
      <w:r w:rsidRPr="001F790C">
        <w:t>The Colorado Department of Education requested information on research conducted to identify key indicators for Early Warning Systems (EWS)</w:t>
      </w:r>
      <w:r>
        <w:t xml:space="preserve">. </w:t>
      </w:r>
      <w:r w:rsidRPr="001F790C">
        <w:t xml:space="preserve">In response to this request, REL Central at McREL conducted a literature search for articles that described the </w:t>
      </w:r>
      <w:r>
        <w:t>identification of indicators that could be used as part</w:t>
      </w:r>
      <w:r w:rsidRPr="001F790C">
        <w:t xml:space="preserve"> of </w:t>
      </w:r>
      <w:proofErr w:type="gramStart"/>
      <w:r>
        <w:t>an</w:t>
      </w:r>
      <w:proofErr w:type="gramEnd"/>
      <w:r>
        <w:t xml:space="preserve"> </w:t>
      </w:r>
      <w:r w:rsidRPr="001F790C">
        <w:t>EWS</w:t>
      </w:r>
      <w:r>
        <w:t xml:space="preserve">. </w:t>
      </w:r>
      <w:r w:rsidRPr="001F790C">
        <w:t xml:space="preserve">This search specifically targeted articles that describe the methodology used in </w:t>
      </w:r>
      <w:r>
        <w:t xml:space="preserve">the </w:t>
      </w:r>
      <w:r w:rsidRPr="001F790C">
        <w:t>creation of these systems and a description of the choices made when creating models and in the final selection of indic</w:t>
      </w:r>
      <w:r>
        <w:t>a</w:t>
      </w:r>
      <w:r w:rsidRPr="001F790C">
        <w:t>tors</w:t>
      </w:r>
      <w:r>
        <w:t xml:space="preserve">. </w:t>
      </w:r>
    </w:p>
    <w:p w:rsidR="00F0085F" w:rsidRDefault="00F0085F" w:rsidP="000C2285">
      <w:pPr>
        <w:pStyle w:val="NoSpacing"/>
      </w:pPr>
    </w:p>
    <w:p w:rsidR="002C2E7D" w:rsidRDefault="008F0979" w:rsidP="000C2285">
      <w:pPr>
        <w:pStyle w:val="NoSpacing"/>
      </w:pPr>
      <w:r>
        <w:t>The articles varied</w:t>
      </w:r>
      <w:r w:rsidR="004278AC" w:rsidRPr="001F790C">
        <w:t xml:space="preserve"> in the details </w:t>
      </w:r>
      <w:r w:rsidR="000B0577">
        <w:t>describing the</w:t>
      </w:r>
      <w:r w:rsidR="004278AC" w:rsidRPr="001F790C">
        <w:t xml:space="preserve"> methodologies used to identify indicators</w:t>
      </w:r>
      <w:r w:rsidR="000C2285">
        <w:t xml:space="preserve">. </w:t>
      </w:r>
      <w:r w:rsidR="00CA34A5">
        <w:t>The</w:t>
      </w:r>
      <w:r w:rsidR="00CA34A5" w:rsidRPr="001F790C">
        <w:t xml:space="preserve"> </w:t>
      </w:r>
      <w:r w:rsidR="004278AC" w:rsidRPr="001F790C">
        <w:t>articles (e.g.</w:t>
      </w:r>
      <w:r w:rsidR="00C81BB0">
        <w:t>,</w:t>
      </w:r>
      <w:r w:rsidR="004278AC" w:rsidRPr="001F790C">
        <w:t xml:space="preserve"> </w:t>
      </w:r>
      <w:proofErr w:type="spellStart"/>
      <w:r w:rsidR="00A91050" w:rsidRPr="001F790C">
        <w:t>Nelid</w:t>
      </w:r>
      <w:proofErr w:type="spellEnd"/>
      <w:r w:rsidR="00A91050" w:rsidRPr="001F790C">
        <w:t xml:space="preserve"> and </w:t>
      </w:r>
      <w:proofErr w:type="spellStart"/>
      <w:r w:rsidR="00A91050" w:rsidRPr="001F790C">
        <w:t>Balfanz</w:t>
      </w:r>
      <w:proofErr w:type="spellEnd"/>
      <w:r w:rsidR="00A91050" w:rsidRPr="001F790C">
        <w:t>, 2006</w:t>
      </w:r>
      <w:r w:rsidR="004278AC" w:rsidRPr="001F790C">
        <w:t>) provided general guidance that would make replication</w:t>
      </w:r>
      <w:r w:rsidR="000B0577">
        <w:t xml:space="preserve"> </w:t>
      </w:r>
      <w:r w:rsidR="00DE275C">
        <w:t xml:space="preserve">of the methodologies </w:t>
      </w:r>
      <w:r w:rsidR="004278AC" w:rsidRPr="001F790C">
        <w:t>more difficult</w:t>
      </w:r>
      <w:r w:rsidR="00DE275C">
        <w:t xml:space="preserve"> for districts</w:t>
      </w:r>
      <w:r w:rsidR="000C2285">
        <w:t xml:space="preserve">. </w:t>
      </w:r>
      <w:r w:rsidR="004278AC" w:rsidRPr="001F790C">
        <w:t xml:space="preserve">Despite the </w:t>
      </w:r>
      <w:r w:rsidR="009C7E48">
        <w:t xml:space="preserve">difference in the </w:t>
      </w:r>
      <w:r w:rsidR="004278AC" w:rsidRPr="001F790C">
        <w:t xml:space="preserve">level of detail provided, </w:t>
      </w:r>
      <w:r w:rsidR="009C7E48">
        <w:t xml:space="preserve">the </w:t>
      </w:r>
      <w:r w:rsidR="00582371">
        <w:t xml:space="preserve">authors </w:t>
      </w:r>
      <w:r w:rsidR="009C7E48">
        <w:t xml:space="preserve">of each article </w:t>
      </w:r>
      <w:r w:rsidR="00582371">
        <w:t xml:space="preserve">described </w:t>
      </w:r>
      <w:r w:rsidR="00582371" w:rsidRPr="001F790C">
        <w:t>two similar steps</w:t>
      </w:r>
      <w:r w:rsidR="009C7E48">
        <w:t xml:space="preserve"> needed to develop indicators of </w:t>
      </w:r>
      <w:proofErr w:type="gramStart"/>
      <w:r w:rsidR="009C7E48">
        <w:t>an</w:t>
      </w:r>
      <w:proofErr w:type="gramEnd"/>
      <w:r w:rsidR="009C7E48">
        <w:t xml:space="preserve"> EWS</w:t>
      </w:r>
      <w:r w:rsidR="000C2285">
        <w:t xml:space="preserve">. </w:t>
      </w:r>
      <w:r w:rsidR="00582371">
        <w:t>The f</w:t>
      </w:r>
      <w:r w:rsidR="000C2285">
        <w:t>irst</w:t>
      </w:r>
      <w:r w:rsidR="00582371">
        <w:t xml:space="preserve"> step </w:t>
      </w:r>
      <w:r w:rsidR="000B0577">
        <w:t xml:space="preserve">recommended by the authors </w:t>
      </w:r>
      <w:r w:rsidR="00582371">
        <w:t xml:space="preserve">was to provide a general description of the </w:t>
      </w:r>
      <w:r w:rsidR="000B0577">
        <w:t xml:space="preserve">student </w:t>
      </w:r>
      <w:r w:rsidR="00582371">
        <w:t>sample</w:t>
      </w:r>
      <w:r w:rsidR="00136858">
        <w:t>s,</w:t>
      </w:r>
      <w:r w:rsidR="000B0577">
        <w:t xml:space="preserve"> because </w:t>
      </w:r>
      <w:r w:rsidR="00136858">
        <w:t xml:space="preserve">the student population may vary within </w:t>
      </w:r>
      <w:r w:rsidR="000B0577">
        <w:t xml:space="preserve">districts </w:t>
      </w:r>
      <w:r w:rsidR="00136858">
        <w:t>or states, leading to a corresponding difference in potential indicators</w:t>
      </w:r>
      <w:r w:rsidR="000B0577">
        <w:t xml:space="preserve">. </w:t>
      </w:r>
      <w:r w:rsidR="00136858">
        <w:t xml:space="preserve">In the first set of articles, </w:t>
      </w:r>
      <w:r w:rsidR="00DE275C">
        <w:t>a</w:t>
      </w:r>
      <w:r w:rsidR="00C94ACD" w:rsidRPr="001F790C">
        <w:t xml:space="preserve">ll articles </w:t>
      </w:r>
      <w:r w:rsidR="008B57EA">
        <w:t>reported</w:t>
      </w:r>
      <w:r w:rsidR="008B57EA" w:rsidRPr="001F790C">
        <w:t xml:space="preserve"> </w:t>
      </w:r>
      <w:r w:rsidR="00C94ACD" w:rsidRPr="001F790C">
        <w:t>the percent</w:t>
      </w:r>
      <w:r w:rsidR="00C81BB0">
        <w:t>age</w:t>
      </w:r>
      <w:r w:rsidR="00C94ACD" w:rsidRPr="001F790C">
        <w:t xml:space="preserve"> of graduates and dropouts by demographic </w:t>
      </w:r>
      <w:r w:rsidR="00032D1D" w:rsidRPr="001F790C">
        <w:t>categories</w:t>
      </w:r>
      <w:r w:rsidR="00136858">
        <w:t xml:space="preserve"> to</w:t>
      </w:r>
      <w:r w:rsidR="00752C48">
        <w:t xml:space="preserve"> descriptively examine the characteristics </w:t>
      </w:r>
      <w:r w:rsidR="00136858">
        <w:t>of</w:t>
      </w:r>
      <w:r w:rsidR="00752C48">
        <w:t xml:space="preserve"> the students in the sample who drop out of school and the students in the sample who graduate</w:t>
      </w:r>
      <w:r w:rsidR="00B84FB2">
        <w:t xml:space="preserve">. </w:t>
      </w:r>
      <w:r w:rsidR="00C94ACD" w:rsidRPr="001F790C">
        <w:t>Second, the a</w:t>
      </w:r>
      <w:r w:rsidR="008B57EA">
        <w:t>uthors</w:t>
      </w:r>
      <w:r w:rsidR="00C94ACD" w:rsidRPr="001F790C">
        <w:t xml:space="preserve"> identified the student characteristics that they felt best </w:t>
      </w:r>
      <w:r w:rsidR="00730643">
        <w:t>predicted</w:t>
      </w:r>
      <w:r w:rsidR="00C94ACD" w:rsidRPr="001F790C">
        <w:t xml:space="preserve"> </w:t>
      </w:r>
      <w:r w:rsidR="000B3F52" w:rsidRPr="001F790C">
        <w:t xml:space="preserve">the </w:t>
      </w:r>
      <w:r w:rsidR="00032D1D" w:rsidRPr="001F790C">
        <w:t>likelihood</w:t>
      </w:r>
      <w:r w:rsidR="000B3F52" w:rsidRPr="001F790C">
        <w:t xml:space="preserve"> of a student drop</w:t>
      </w:r>
      <w:r w:rsidR="00730643">
        <w:t>ping</w:t>
      </w:r>
      <w:r w:rsidR="000B3F52" w:rsidRPr="001F790C">
        <w:t xml:space="preserve"> out of school</w:t>
      </w:r>
      <w:r w:rsidR="000C2285">
        <w:t>. In addition to these two steps</w:t>
      </w:r>
      <w:r w:rsidR="008B57EA">
        <w:t>,</w:t>
      </w:r>
      <w:r w:rsidR="000C2285">
        <w:t xml:space="preserve"> three of</w:t>
      </w:r>
      <w:r w:rsidR="00032D1D" w:rsidRPr="001F790C">
        <w:t xml:space="preserve"> the</w:t>
      </w:r>
      <w:r w:rsidR="000C2285">
        <w:t xml:space="preserve"> reviewed</w:t>
      </w:r>
      <w:r w:rsidR="00032D1D" w:rsidRPr="001F790C">
        <w:t xml:space="preserve"> articles </w:t>
      </w:r>
      <w:r w:rsidR="008B57EA">
        <w:t xml:space="preserve">provided definitions of </w:t>
      </w:r>
      <w:r w:rsidR="00032D1D" w:rsidRPr="001F790C">
        <w:t xml:space="preserve">indicator threshold values </w:t>
      </w:r>
      <w:r w:rsidR="000C2285">
        <w:t>t</w:t>
      </w:r>
      <w:r w:rsidR="00032D1D" w:rsidRPr="001F790C">
        <w:t>o help identify students at risk for dropping out of school</w:t>
      </w:r>
      <w:r w:rsidR="000C2285">
        <w:t>.</w:t>
      </w:r>
      <w:r w:rsidR="00DE275C">
        <w:t xml:space="preserve"> These threshold values represent tipping points in the indicators; </w:t>
      </w:r>
      <w:r w:rsidR="00590194">
        <w:t xml:space="preserve">in other words, </w:t>
      </w:r>
      <w:r w:rsidR="00DE275C">
        <w:t xml:space="preserve">students with characteristics </w:t>
      </w:r>
      <w:r w:rsidR="00590194">
        <w:t xml:space="preserve">that fall </w:t>
      </w:r>
      <w:r w:rsidR="00DE275C">
        <w:t>above these values are at high risk of dropping out</w:t>
      </w:r>
      <w:r w:rsidR="00590194">
        <w:t>,</w:t>
      </w:r>
      <w:r w:rsidR="00DE275C">
        <w:t xml:space="preserve"> based on the statistical model used by the authors</w:t>
      </w:r>
      <w:r w:rsidR="00B84FB2">
        <w:t xml:space="preserve">. </w:t>
      </w:r>
      <w:r w:rsidR="00DE275C">
        <w:t>For example</w:t>
      </w:r>
      <w:r w:rsidR="00136858">
        <w:t>,</w:t>
      </w:r>
      <w:r w:rsidR="00DE275C">
        <w:t xml:space="preserve"> </w:t>
      </w:r>
      <w:r w:rsidR="00C4444D" w:rsidRPr="00C4444D">
        <w:rPr>
          <w:sz w:val="20"/>
          <w:szCs w:val="20"/>
        </w:rPr>
        <w:t xml:space="preserve"> </w:t>
      </w:r>
      <w:proofErr w:type="spellStart"/>
      <w:r w:rsidR="00C4444D" w:rsidRPr="00C4444D">
        <w:t>Balfanz</w:t>
      </w:r>
      <w:proofErr w:type="spellEnd"/>
      <w:r w:rsidR="00C4444D" w:rsidRPr="00C4444D">
        <w:t xml:space="preserve"> et al. (2010)</w:t>
      </w:r>
      <w:r w:rsidR="00DE275C" w:rsidRPr="00DE275C">
        <w:t>.</w:t>
      </w:r>
      <w:r w:rsidR="00DE275C">
        <w:t xml:space="preserve">reported a threshold value of </w:t>
      </w:r>
      <w:r w:rsidR="00C4444D">
        <w:t xml:space="preserve">two </w:t>
      </w:r>
      <w:r w:rsidR="00DE275C">
        <w:t xml:space="preserve">for suspensions, indicating </w:t>
      </w:r>
      <w:r w:rsidR="00590194">
        <w:t xml:space="preserve">that </w:t>
      </w:r>
      <w:r w:rsidR="00DE275C">
        <w:t xml:space="preserve">a student with </w:t>
      </w:r>
      <w:r w:rsidR="00C4444D">
        <w:t xml:space="preserve">two </w:t>
      </w:r>
      <w:r w:rsidR="00DE275C">
        <w:t>or more suspensions is at a higher risk of dropping out then a student who has not been suspended</w:t>
      </w:r>
      <w:r w:rsidR="00B84FB2">
        <w:t xml:space="preserve">. </w:t>
      </w:r>
      <w:r w:rsidR="00DE275C">
        <w:t>These threshold values can be used by districts to identify students who are candidates for dropout prevention programs.</w:t>
      </w:r>
    </w:p>
    <w:p w:rsidR="002C2E7D" w:rsidRDefault="002C2E7D" w:rsidP="002C2E7D">
      <w:pPr>
        <w:pStyle w:val="NoSpacing"/>
      </w:pPr>
    </w:p>
    <w:p w:rsidR="003A679B" w:rsidRDefault="003A679B" w:rsidP="001F790C">
      <w:pPr>
        <w:pStyle w:val="NoSpacing"/>
      </w:pPr>
      <w:r>
        <w:t xml:space="preserve">Each of the </w:t>
      </w:r>
      <w:r w:rsidR="007C311D">
        <w:t xml:space="preserve">reviewed articles </w:t>
      </w:r>
      <w:r>
        <w:t xml:space="preserve">discussed the following </w:t>
      </w:r>
      <w:r w:rsidR="003715FD">
        <w:t>common</w:t>
      </w:r>
      <w:r>
        <w:t xml:space="preserve"> </w:t>
      </w:r>
      <w:r w:rsidR="003715FD">
        <w:t>considerations</w:t>
      </w:r>
      <w:r>
        <w:t>:</w:t>
      </w:r>
    </w:p>
    <w:p w:rsidR="00CC4795" w:rsidRDefault="002C2E7D" w:rsidP="001F790C">
      <w:pPr>
        <w:pStyle w:val="NoSpacing"/>
      </w:pPr>
      <w:r>
        <w:t xml:space="preserve"> </w:t>
      </w:r>
    </w:p>
    <w:p w:rsidR="00D418B4" w:rsidRDefault="000C2285" w:rsidP="001F790C">
      <w:pPr>
        <w:pStyle w:val="NoSpacing"/>
        <w:numPr>
          <w:ilvl w:val="0"/>
          <w:numId w:val="7"/>
        </w:numPr>
      </w:pPr>
      <w:r>
        <w:t>The recommended</w:t>
      </w:r>
      <w:r w:rsidR="00C81BB0">
        <w:t xml:space="preserve"> indicators</w:t>
      </w:r>
      <w:r>
        <w:t xml:space="preserve"> and thresholds that</w:t>
      </w:r>
      <w:r w:rsidR="00D418B4">
        <w:t xml:space="preserve"> result</w:t>
      </w:r>
      <w:r w:rsidR="00730643">
        <w:t>ed</w:t>
      </w:r>
      <w:r w:rsidR="00D418B4">
        <w:t xml:space="preserve"> from the models are based on the sample data put into the model. For example, </w:t>
      </w:r>
      <w:r w:rsidR="00D418B4" w:rsidRPr="001F790C">
        <w:t xml:space="preserve">MacIver et </w:t>
      </w:r>
      <w:r w:rsidR="00C81BB0">
        <w:t>a</w:t>
      </w:r>
      <w:r w:rsidR="00D418B4" w:rsidRPr="001F790C">
        <w:t>l</w:t>
      </w:r>
      <w:r w:rsidR="00C81BB0">
        <w:t>.</w:t>
      </w:r>
      <w:r w:rsidR="00D418B4" w:rsidRPr="001F790C">
        <w:t xml:space="preserve"> (2009a) </w:t>
      </w:r>
      <w:r w:rsidR="00D418B4">
        <w:t xml:space="preserve">ran the same logistic regression models on four student samples from different school districts. The indicators </w:t>
      </w:r>
      <w:r w:rsidR="003A679B">
        <w:t xml:space="preserve">that </w:t>
      </w:r>
      <w:r w:rsidR="00D418B4">
        <w:t>the model identified as statistically significant varied slightly for each district. All authors</w:t>
      </w:r>
      <w:r w:rsidR="003A679B">
        <w:t xml:space="preserve"> of reviewed</w:t>
      </w:r>
      <w:r w:rsidR="00D418B4">
        <w:t xml:space="preserve"> recommend that districts run their own data through the models to verify the ind</w:t>
      </w:r>
      <w:r w:rsidR="00CC4795">
        <w:t xml:space="preserve">icators </w:t>
      </w:r>
      <w:r w:rsidR="00730643">
        <w:t>function similarly</w:t>
      </w:r>
      <w:r w:rsidR="00CC4795">
        <w:t xml:space="preserve"> for the</w:t>
      </w:r>
      <w:r w:rsidR="00730643">
        <w:t>ir</w:t>
      </w:r>
      <w:r w:rsidR="00CC4795">
        <w:t xml:space="preserve"> sample.</w:t>
      </w:r>
    </w:p>
    <w:p w:rsidR="00032D1D" w:rsidRDefault="00CC4795" w:rsidP="00CC4795">
      <w:pPr>
        <w:pStyle w:val="NoSpacing"/>
        <w:numPr>
          <w:ilvl w:val="0"/>
          <w:numId w:val="7"/>
        </w:numPr>
      </w:pPr>
      <w:r>
        <w:t>The</w:t>
      </w:r>
      <w:r w:rsidR="000B3F52" w:rsidRPr="001F790C">
        <w:t xml:space="preserve"> </w:t>
      </w:r>
      <w:r w:rsidR="00730643">
        <w:t xml:space="preserve">researchers also discussed the </w:t>
      </w:r>
      <w:r w:rsidR="000B3F52" w:rsidRPr="001F790C">
        <w:t>importance of clearly defining b</w:t>
      </w:r>
      <w:r w:rsidR="00D418B4">
        <w:t xml:space="preserve">oth outcome and input variables </w:t>
      </w:r>
      <w:r w:rsidR="000B3F52" w:rsidRPr="001F790C">
        <w:t xml:space="preserve">used </w:t>
      </w:r>
      <w:r w:rsidR="00D418B4">
        <w:t>in the models. For example, a</w:t>
      </w:r>
      <w:r w:rsidR="00032D1D" w:rsidRPr="001F790C">
        <w:t xml:space="preserve">ttendance </w:t>
      </w:r>
      <w:r w:rsidR="00D418B4">
        <w:t>is</w:t>
      </w:r>
      <w:r w:rsidR="00032D1D" w:rsidRPr="001F790C">
        <w:t xml:space="preserve"> </w:t>
      </w:r>
      <w:r w:rsidR="00523DD4">
        <w:t>often proposed as a</w:t>
      </w:r>
      <w:r w:rsidR="00032D1D" w:rsidRPr="001F790C">
        <w:t xml:space="preserve"> possible </w:t>
      </w:r>
      <w:r w:rsidR="00523DD4">
        <w:t xml:space="preserve">dropout </w:t>
      </w:r>
      <w:r w:rsidR="00032D1D" w:rsidRPr="001F790C">
        <w:t>indicator</w:t>
      </w:r>
      <w:r w:rsidR="00730643">
        <w:t>,</w:t>
      </w:r>
      <w:r w:rsidR="00032D1D" w:rsidRPr="001F790C">
        <w:t xml:space="preserve"> but </w:t>
      </w:r>
      <w:r w:rsidR="00031A61">
        <w:t xml:space="preserve">often, </w:t>
      </w:r>
      <w:r w:rsidR="00032D1D" w:rsidRPr="001F790C">
        <w:t>studies</w:t>
      </w:r>
      <w:r w:rsidR="00523DD4">
        <w:t xml:space="preserve">, including those reviewed </w:t>
      </w:r>
      <w:proofErr w:type="gramStart"/>
      <w:r w:rsidR="00523DD4">
        <w:t>here,</w:t>
      </w:r>
      <w:proofErr w:type="gramEnd"/>
      <w:r w:rsidR="00523DD4">
        <w:t xml:space="preserve"> </w:t>
      </w:r>
      <w:r w:rsidR="00032D1D" w:rsidRPr="001F790C">
        <w:t xml:space="preserve">use slightly different definitions </w:t>
      </w:r>
      <w:r w:rsidR="00730643">
        <w:t>of</w:t>
      </w:r>
      <w:r w:rsidR="00032D1D" w:rsidRPr="001F790C">
        <w:t xml:space="preserve"> </w:t>
      </w:r>
      <w:r w:rsidR="00730643">
        <w:t>attendance</w:t>
      </w:r>
      <w:r w:rsidR="000C2285">
        <w:t xml:space="preserve">. </w:t>
      </w:r>
      <w:proofErr w:type="spellStart"/>
      <w:r w:rsidR="00032D1D" w:rsidRPr="001F790C">
        <w:t>Allensworth</w:t>
      </w:r>
      <w:proofErr w:type="spellEnd"/>
      <w:r w:rsidR="00032D1D" w:rsidRPr="001F790C">
        <w:t xml:space="preserve"> and Easton (2007) define attendance as course attendance, whereas MacIver et al. (2009) define attendance as daily attendance.</w:t>
      </w:r>
      <w:r w:rsidR="00523DD4">
        <w:t xml:space="preserve"> The different definitions </w:t>
      </w:r>
      <w:r w:rsidR="003E038C">
        <w:t xml:space="preserve">used </w:t>
      </w:r>
      <w:r w:rsidR="00523DD4">
        <w:t>for both outcome and input variables are likely the result of variation</w:t>
      </w:r>
      <w:r w:rsidR="003E038C">
        <w:t>s</w:t>
      </w:r>
      <w:r w:rsidR="00523DD4">
        <w:t xml:space="preserve"> in data collection and school district policies. The differences are not a reason to exclude variables as potential</w:t>
      </w:r>
      <w:r w:rsidR="00B70BAD">
        <w:t xml:space="preserve"> drop-out indicators. </w:t>
      </w:r>
      <w:r w:rsidR="00523DD4">
        <w:t>However, when reviewing the literature</w:t>
      </w:r>
      <w:r w:rsidR="003E038C">
        <w:t>,</w:t>
      </w:r>
      <w:r w:rsidR="00523DD4">
        <w:t xml:space="preserve"> caution should be taken when comparing </w:t>
      </w:r>
      <w:r w:rsidR="00752C48">
        <w:t>values reported across articles</w:t>
      </w:r>
      <w:r w:rsidR="003E038C">
        <w:t>,</w:t>
      </w:r>
      <w:r w:rsidR="00752C48">
        <w:t xml:space="preserve"> as variations in </w:t>
      </w:r>
      <w:r w:rsidR="00752C48">
        <w:lastRenderedPageBreak/>
        <w:t xml:space="preserve">these definitions will affect </w:t>
      </w:r>
      <w:r w:rsidR="003E038C">
        <w:t xml:space="preserve">the </w:t>
      </w:r>
      <w:r w:rsidR="00752C48">
        <w:t xml:space="preserve">interpretation of recommendations </w:t>
      </w:r>
      <w:r w:rsidR="003E038C">
        <w:t>regarding</w:t>
      </w:r>
      <w:r w:rsidR="00752C48">
        <w:t xml:space="preserve"> these indicators.</w:t>
      </w:r>
    </w:p>
    <w:p w:rsidR="00A92D0C" w:rsidRPr="001F790C" w:rsidRDefault="00A92D0C" w:rsidP="00CC4795">
      <w:pPr>
        <w:pStyle w:val="NoSpacing"/>
        <w:numPr>
          <w:ilvl w:val="0"/>
          <w:numId w:val="7"/>
        </w:numPr>
      </w:pPr>
      <w:r>
        <w:t>These articles propose indicators based on an analysis of existing data</w:t>
      </w:r>
      <w:r w:rsidR="00C04FCE">
        <w:t xml:space="preserve"> but do not provide evidence of how these proposed systems would work in practice. In</w:t>
      </w:r>
      <w:r>
        <w:t xml:space="preserve"> the IES </w:t>
      </w:r>
      <w:r w:rsidR="00C04FCE">
        <w:t>practice</w:t>
      </w:r>
      <w:r>
        <w:t xml:space="preserve"> guide, </w:t>
      </w:r>
      <w:proofErr w:type="spellStart"/>
      <w:r w:rsidRPr="005636A2">
        <w:t>Dynarski</w:t>
      </w:r>
      <w:proofErr w:type="spellEnd"/>
      <w:r>
        <w:t xml:space="preserve"> et al. (2008) </w:t>
      </w:r>
      <w:r w:rsidR="00C04FCE">
        <w:t>recommend</w:t>
      </w:r>
      <w:r>
        <w:t xml:space="preserve"> the use of data systems </w:t>
      </w:r>
      <w:r w:rsidR="00C04FCE">
        <w:t>to diagnose and identify students at risk of dropping out. However</w:t>
      </w:r>
      <w:r w:rsidR="000D2580">
        <w:t>,</w:t>
      </w:r>
      <w:r w:rsidR="00C04FCE">
        <w:t xml:space="preserve"> they rate the level of evidence to support this recommendation as low because they could not identify studies that evaluate district or school use of these data systems. </w:t>
      </w:r>
    </w:p>
    <w:p w:rsidR="00032D1D" w:rsidRPr="001F790C" w:rsidRDefault="00032D1D" w:rsidP="003715FD">
      <w:pPr>
        <w:pStyle w:val="NoSpacing"/>
      </w:pPr>
    </w:p>
    <w:p w:rsidR="00B02596" w:rsidRDefault="00B969BE">
      <w:pPr>
        <w:pStyle w:val="Heading1"/>
        <w:spacing w:before="0" w:line="240" w:lineRule="auto"/>
        <w:jc w:val="center"/>
      </w:pPr>
      <w:r>
        <w:t xml:space="preserve">Review </w:t>
      </w:r>
      <w:r w:rsidR="00730643">
        <w:t>of Articles</w:t>
      </w:r>
    </w:p>
    <w:p w:rsidR="00B02596" w:rsidRDefault="00B02596">
      <w:pPr>
        <w:spacing w:after="0" w:line="240" w:lineRule="auto"/>
      </w:pPr>
    </w:p>
    <w:p w:rsidR="00356607" w:rsidRDefault="00032D1D" w:rsidP="001F790C">
      <w:pPr>
        <w:pStyle w:val="NoSpacing"/>
      </w:pPr>
      <w:r>
        <w:t>The re</w:t>
      </w:r>
      <w:r w:rsidR="00730643">
        <w:t>mainder</w:t>
      </w:r>
      <w:r>
        <w:t xml:space="preserve"> of this </w:t>
      </w:r>
      <w:r w:rsidR="00730643">
        <w:t>report</w:t>
      </w:r>
      <w:r>
        <w:t xml:space="preserve"> summariz</w:t>
      </w:r>
      <w:r w:rsidR="003715FD">
        <w:t>es</w:t>
      </w:r>
      <w:r>
        <w:t xml:space="preserve"> the information from the reviewed articles</w:t>
      </w:r>
      <w:r w:rsidR="00B84FB2">
        <w:t xml:space="preserve">. </w:t>
      </w:r>
      <w:r w:rsidR="003715FD">
        <w:t>We first present</w:t>
      </w:r>
      <w:r w:rsidR="00D418B4">
        <w:t xml:space="preserve"> a summary </w:t>
      </w:r>
      <w:r w:rsidR="00B4745A">
        <w:t>of variables</w:t>
      </w:r>
      <w:r w:rsidR="0049737A">
        <w:t xml:space="preserve"> used to initially describe the sample </w:t>
      </w:r>
      <w:r w:rsidR="006F7F2F">
        <w:t>characteristics</w:t>
      </w:r>
      <w:r w:rsidR="000C2285">
        <w:t xml:space="preserve">. </w:t>
      </w:r>
      <w:r w:rsidR="00CC4795">
        <w:t xml:space="preserve">The second </w:t>
      </w:r>
      <w:r w:rsidR="0049737A">
        <w:t xml:space="preserve">section summarizes the variables identified as potential indicators for </w:t>
      </w:r>
      <w:proofErr w:type="gramStart"/>
      <w:r w:rsidR="0049737A">
        <w:t>an</w:t>
      </w:r>
      <w:proofErr w:type="gramEnd"/>
      <w:r w:rsidR="0049737A">
        <w:t xml:space="preserve"> EWS</w:t>
      </w:r>
      <w:r w:rsidR="000C2285">
        <w:t xml:space="preserve">. </w:t>
      </w:r>
      <w:r w:rsidR="0049737A">
        <w:t>T</w:t>
      </w:r>
      <w:r w:rsidR="00CC4795">
        <w:t xml:space="preserve">he third </w:t>
      </w:r>
      <w:r w:rsidR="0049737A">
        <w:t>section summarizes the threshold values</w:t>
      </w:r>
      <w:r w:rsidR="00A72636">
        <w:t>, when available,</w:t>
      </w:r>
      <w:r w:rsidR="0049737A">
        <w:t xml:space="preserve"> </w:t>
      </w:r>
      <w:r w:rsidR="006A34D1">
        <w:t>recommended</w:t>
      </w:r>
      <w:r w:rsidR="0049737A">
        <w:t xml:space="preserve"> by the researchers</w:t>
      </w:r>
      <w:r w:rsidR="000C2285">
        <w:t xml:space="preserve">. </w:t>
      </w:r>
      <w:r w:rsidR="00CC4795">
        <w:t xml:space="preserve">A conclusion section summarizes the indicators most frequently recommended by </w:t>
      </w:r>
      <w:r w:rsidR="00B0226C">
        <w:t xml:space="preserve">the articles’ </w:t>
      </w:r>
      <w:r w:rsidR="00440587">
        <w:t>authors</w:t>
      </w:r>
      <w:r w:rsidR="00CC4795">
        <w:t>.</w:t>
      </w:r>
    </w:p>
    <w:p w:rsidR="00CC4795" w:rsidRDefault="00730643" w:rsidP="000D2580">
      <w:pPr>
        <w:pStyle w:val="Heading2"/>
      </w:pPr>
      <w:r>
        <w:t xml:space="preserve">Describing the </w:t>
      </w:r>
      <w:r w:rsidR="00CC4795">
        <w:t>Sample</w:t>
      </w:r>
    </w:p>
    <w:p w:rsidR="00B02596" w:rsidRDefault="00B02596">
      <w:pPr>
        <w:spacing w:after="0" w:line="240" w:lineRule="auto"/>
      </w:pPr>
    </w:p>
    <w:p w:rsidR="00FC1081" w:rsidRDefault="00BA4944" w:rsidP="000C2285">
      <w:pPr>
        <w:pStyle w:val="NoSpacing"/>
      </w:pPr>
      <w:r w:rsidRPr="001F790C">
        <w:t>T</w:t>
      </w:r>
      <w:r w:rsidR="00A72F57" w:rsidRPr="001F790C">
        <w:t xml:space="preserve">he articles reviewed for this summary </w:t>
      </w:r>
      <w:r w:rsidR="0049737A" w:rsidRPr="001F790C">
        <w:t xml:space="preserve">began </w:t>
      </w:r>
      <w:r w:rsidR="00440587">
        <w:t>with a description of</w:t>
      </w:r>
      <w:r w:rsidR="0049737A" w:rsidRPr="001F790C">
        <w:t xml:space="preserve"> the characteristics of dropouts and graduates in their sample</w:t>
      </w:r>
      <w:r w:rsidR="000C2285">
        <w:t xml:space="preserve">. </w:t>
      </w:r>
      <w:r w:rsidR="00C22508">
        <w:t xml:space="preserve">The authors used these descriptive examinations as a first look at the differences between the two groups to begin to describe </w:t>
      </w:r>
      <w:r w:rsidR="006700B6">
        <w:t xml:space="preserve">the characteristics of </w:t>
      </w:r>
      <w:r w:rsidR="00C22508">
        <w:t xml:space="preserve">a </w:t>
      </w:r>
      <w:r w:rsidR="006700B6">
        <w:t>“</w:t>
      </w:r>
      <w:r w:rsidR="00C22508">
        <w:t>typical</w:t>
      </w:r>
      <w:r w:rsidR="006700B6">
        <w:t>”</w:t>
      </w:r>
      <w:r w:rsidR="00C22508">
        <w:t xml:space="preserve"> dropout. For example</w:t>
      </w:r>
      <w:r w:rsidR="00B0226C" w:rsidRPr="00867C27">
        <w:t>,</w:t>
      </w:r>
      <w:r w:rsidR="00C22508" w:rsidRPr="00867C27">
        <w:t xml:space="preserve"> </w:t>
      </w:r>
      <w:r w:rsidR="00867C27" w:rsidRPr="00867C27">
        <w:t>MacIver et Al</w:t>
      </w:r>
      <w:r w:rsidR="00C22508" w:rsidRPr="00867C27">
        <w:t>. (20</w:t>
      </w:r>
      <w:r w:rsidR="003A1D1E">
        <w:t>09b</w:t>
      </w:r>
      <w:r w:rsidR="00F60F9B">
        <w:t>) noted that 75%% of the dropouts in their sample failed one or more semester courses in ninth grade. This descriptive</w:t>
      </w:r>
      <w:r w:rsidR="00C22508">
        <w:t xml:space="preserve"> analysis helpe</w:t>
      </w:r>
      <w:r w:rsidR="009D15F4">
        <w:t xml:space="preserve">d the authors decide </w:t>
      </w:r>
      <w:r w:rsidR="00E1026C">
        <w:t xml:space="preserve">which </w:t>
      </w:r>
      <w:r w:rsidR="009D15F4">
        <w:t xml:space="preserve">variables may be important to include in their predictive models. </w:t>
      </w:r>
      <w:r w:rsidR="00E1026C">
        <w:t xml:space="preserve">When </w:t>
      </w:r>
      <w:r w:rsidR="009D15F4">
        <w:t>there were strong differences in the demographic characteristics between dropouts and graduates</w:t>
      </w:r>
      <w:r w:rsidR="00E1026C">
        <w:t>,</w:t>
      </w:r>
      <w:r w:rsidR="009D15F4">
        <w:t xml:space="preserve"> the authors used that difference as evidence to include the characteristic in the predictive model.</w:t>
      </w:r>
      <w:r w:rsidR="00C22508">
        <w:t xml:space="preserve"> </w:t>
      </w:r>
      <w:r w:rsidR="0049737A" w:rsidRPr="001F790C">
        <w:t xml:space="preserve">It is important to note that there </w:t>
      </w:r>
      <w:r w:rsidR="00E1026C">
        <w:t>none of the articles reviewed included a</w:t>
      </w:r>
      <w:r w:rsidR="00AE5760">
        <w:t xml:space="preserve"> </w:t>
      </w:r>
      <w:r w:rsidR="0049737A" w:rsidRPr="001F790C">
        <w:t>standard definition of dropout or graduate</w:t>
      </w:r>
      <w:r w:rsidR="00B0226C">
        <w:t>;</w:t>
      </w:r>
      <w:r w:rsidR="0049737A" w:rsidRPr="001F790C">
        <w:t xml:space="preserve"> </w:t>
      </w:r>
      <w:r w:rsidR="00E1026C">
        <w:t xml:space="preserve">rather, </w:t>
      </w:r>
      <w:r w:rsidR="0049737A" w:rsidRPr="001F790C">
        <w:t>each article ha</w:t>
      </w:r>
      <w:r w:rsidR="00705295">
        <w:t>d</w:t>
      </w:r>
      <w:r w:rsidR="00693C19">
        <w:t xml:space="preserve"> </w:t>
      </w:r>
      <w:r w:rsidR="0049737A" w:rsidRPr="001F790C">
        <w:t xml:space="preserve">slightly different criteria for </w:t>
      </w:r>
      <w:r w:rsidR="00705295">
        <w:t>identifying</w:t>
      </w:r>
      <w:r w:rsidR="00705295" w:rsidRPr="001F790C">
        <w:t xml:space="preserve"> </w:t>
      </w:r>
      <w:r w:rsidR="0049737A" w:rsidRPr="001F790C">
        <w:t>a student a</w:t>
      </w:r>
      <w:r w:rsidR="00693C19">
        <w:t>s</w:t>
      </w:r>
      <w:r w:rsidR="0049737A" w:rsidRPr="001F790C">
        <w:t xml:space="preserve"> </w:t>
      </w:r>
      <w:r w:rsidR="00693C19">
        <w:t xml:space="preserve">a </w:t>
      </w:r>
      <w:r w:rsidR="0049737A" w:rsidRPr="001F790C">
        <w:t>dropout or a graduate</w:t>
      </w:r>
      <w:r w:rsidR="000C2285">
        <w:t xml:space="preserve">. </w:t>
      </w:r>
      <w:r w:rsidR="0049737A" w:rsidRPr="001F790C">
        <w:t xml:space="preserve">The definitions were primarily determined by the way that each district or school defined dropout in the </w:t>
      </w:r>
      <w:proofErr w:type="gramStart"/>
      <w:r w:rsidR="0049737A" w:rsidRPr="001F790C">
        <w:t>dataset  available</w:t>
      </w:r>
      <w:proofErr w:type="gramEnd"/>
      <w:r w:rsidR="0049737A" w:rsidRPr="001F790C">
        <w:t xml:space="preserve"> to the researchers</w:t>
      </w:r>
      <w:r w:rsidR="000C2285">
        <w:t xml:space="preserve">. </w:t>
      </w:r>
      <w:r w:rsidR="0049737A" w:rsidRPr="001F790C">
        <w:t>This variation across articles was also true for many of the student characteristic variables used to describe the sample</w:t>
      </w:r>
      <w:r w:rsidR="000C2285">
        <w:t xml:space="preserve">. </w:t>
      </w:r>
      <w:r w:rsidR="0049737A" w:rsidRPr="001F790C">
        <w:t>For example, course grades were recorded as letter grades</w:t>
      </w:r>
      <w:r w:rsidR="00693C19">
        <w:t xml:space="preserve"> in some databases</w:t>
      </w:r>
      <w:r w:rsidR="00705295">
        <w:t>,</w:t>
      </w:r>
      <w:r w:rsidR="009D5D50">
        <w:t xml:space="preserve"> and </w:t>
      </w:r>
      <w:r w:rsidR="0049737A" w:rsidRPr="001F790C">
        <w:t>as GPA</w:t>
      </w:r>
      <w:r w:rsidR="00705295">
        <w:t xml:space="preserve"> in others</w:t>
      </w:r>
      <w:r w:rsidR="000C2285">
        <w:t xml:space="preserve">. </w:t>
      </w:r>
      <w:r w:rsidR="00B50290">
        <w:fldChar w:fldCharType="begin"/>
      </w:r>
      <w:r w:rsidR="00977963">
        <w:instrText xml:space="preserve"> REF _Ref307832252 \h  \* MERGEFORMAT </w:instrText>
      </w:r>
      <w:r w:rsidR="00B50290">
        <w:fldChar w:fldCharType="separate"/>
      </w:r>
    </w:p>
    <w:p w:rsidR="00FC1081" w:rsidRDefault="00FC1081" w:rsidP="000C2285">
      <w:pPr>
        <w:pStyle w:val="NoSpacing"/>
      </w:pPr>
    </w:p>
    <w:p w:rsidR="000C2285" w:rsidRDefault="00FC1081" w:rsidP="000C2285">
      <w:pPr>
        <w:pStyle w:val="NoSpacing"/>
      </w:pPr>
      <w:r>
        <w:rPr>
          <w:noProof/>
        </w:rPr>
        <w:t>Table</w:t>
      </w:r>
      <w:r>
        <w:t xml:space="preserve"> </w:t>
      </w:r>
      <w:r>
        <w:rPr>
          <w:noProof/>
        </w:rPr>
        <w:t>1</w:t>
      </w:r>
      <w:r w:rsidR="00B50290">
        <w:fldChar w:fldCharType="end"/>
      </w:r>
      <w:r w:rsidR="00693C19">
        <w:t xml:space="preserve"> </w:t>
      </w:r>
      <w:r w:rsidR="006A34D1">
        <w:t xml:space="preserve">summarizes </w:t>
      </w:r>
      <w:r w:rsidR="009100C6">
        <w:t xml:space="preserve">the demographic variables used </w:t>
      </w:r>
      <w:r w:rsidR="006A34D1">
        <w:t xml:space="preserve">to describe the differences between dropouts and graduates </w:t>
      </w:r>
      <w:r w:rsidR="009100C6">
        <w:t>in each article</w:t>
      </w:r>
      <w:r w:rsidR="000C2285">
        <w:t xml:space="preserve">. </w:t>
      </w:r>
      <w:r w:rsidR="00DB1BBB">
        <w:t>Most of the articles</w:t>
      </w:r>
      <w:r w:rsidR="00693C19">
        <w:t xml:space="preserve"> </w:t>
      </w:r>
      <w:r w:rsidR="00DB1BBB">
        <w:t>examin</w:t>
      </w:r>
      <w:r w:rsidR="003349FF">
        <w:t xml:space="preserve">ed the trends in their samples </w:t>
      </w:r>
      <w:r w:rsidR="00DB1BBB">
        <w:t xml:space="preserve">for gender and ethnicity </w:t>
      </w:r>
      <w:r w:rsidR="003A4682">
        <w:t xml:space="preserve">separately, </w:t>
      </w:r>
      <w:r w:rsidR="00DB1BBB">
        <w:t>as well as the combination of these two student characteristics (e.g.</w:t>
      </w:r>
      <w:r w:rsidR="00B0226C">
        <w:t>,</w:t>
      </w:r>
      <w:r w:rsidR="00DB1BBB">
        <w:t xml:space="preserve"> the percent of African American male</w:t>
      </w:r>
      <w:r w:rsidR="003A4682">
        <w:t xml:space="preserve"> graduates</w:t>
      </w:r>
      <w:r w:rsidR="00DB1BBB">
        <w:t xml:space="preserve"> in the sample)</w:t>
      </w:r>
      <w:r w:rsidR="000C2285">
        <w:t xml:space="preserve">. </w:t>
      </w:r>
      <w:bookmarkStart w:id="0" w:name="_Ref307817345"/>
      <w:bookmarkStart w:id="1" w:name="_Ref307832252"/>
    </w:p>
    <w:p w:rsidR="000C2285" w:rsidRDefault="000C2285" w:rsidP="000C2285">
      <w:pPr>
        <w:pStyle w:val="NoSpacing"/>
      </w:pPr>
    </w:p>
    <w:p w:rsidR="00140471" w:rsidRDefault="00140471">
      <w:pPr>
        <w:rPr>
          <w:b/>
        </w:rPr>
      </w:pPr>
      <w:r>
        <w:rPr>
          <w:b/>
        </w:rPr>
        <w:br w:type="page"/>
      </w:r>
    </w:p>
    <w:p w:rsidR="00A72F57" w:rsidRPr="00E6187D" w:rsidRDefault="004E2DA8" w:rsidP="000C2285">
      <w:pPr>
        <w:pStyle w:val="NoSpacing"/>
        <w:rPr>
          <w:b/>
        </w:rPr>
      </w:pPr>
      <w:r w:rsidRPr="004E2DA8">
        <w:rPr>
          <w:b/>
        </w:rPr>
        <w:lastRenderedPageBreak/>
        <w:t xml:space="preserve">Table </w:t>
      </w:r>
      <w:r w:rsidR="00B50290" w:rsidRPr="004E2DA8">
        <w:rPr>
          <w:b/>
        </w:rPr>
        <w:fldChar w:fldCharType="begin"/>
      </w:r>
      <w:r w:rsidRPr="004E2DA8">
        <w:rPr>
          <w:b/>
        </w:rPr>
        <w:instrText xml:space="preserve"> SEQ Table \* ARABIC </w:instrText>
      </w:r>
      <w:r w:rsidR="00B50290" w:rsidRPr="004E2DA8">
        <w:rPr>
          <w:b/>
        </w:rPr>
        <w:fldChar w:fldCharType="separate"/>
      </w:r>
      <w:r w:rsidRPr="004E2DA8">
        <w:rPr>
          <w:b/>
          <w:noProof/>
        </w:rPr>
        <w:t>1</w:t>
      </w:r>
      <w:r w:rsidR="00B50290" w:rsidRPr="004E2DA8">
        <w:rPr>
          <w:b/>
        </w:rPr>
        <w:fldChar w:fldCharType="end"/>
      </w:r>
      <w:bookmarkEnd w:id="0"/>
      <w:bookmarkEnd w:id="1"/>
      <w:r w:rsidRPr="004E2DA8">
        <w:rPr>
          <w:b/>
        </w:rPr>
        <w:t>: Variables Used to Initially Describe Student Sample by Article</w:t>
      </w:r>
    </w:p>
    <w:tbl>
      <w:tblPr>
        <w:tblStyle w:val="TableGrid"/>
        <w:tblW w:w="0" w:type="auto"/>
        <w:tblLayout w:type="fixed"/>
        <w:tblLook w:val="04A0"/>
      </w:tblPr>
      <w:tblGrid>
        <w:gridCol w:w="1908"/>
        <w:gridCol w:w="450"/>
        <w:gridCol w:w="630"/>
        <w:gridCol w:w="454"/>
        <w:gridCol w:w="446"/>
        <w:gridCol w:w="540"/>
        <w:gridCol w:w="630"/>
        <w:gridCol w:w="450"/>
        <w:gridCol w:w="450"/>
        <w:gridCol w:w="630"/>
        <w:gridCol w:w="450"/>
        <w:gridCol w:w="540"/>
        <w:gridCol w:w="1998"/>
      </w:tblGrid>
      <w:tr w:rsidR="000C2285" w:rsidRPr="001F790C" w:rsidTr="003411B5">
        <w:trPr>
          <w:cantSplit/>
          <w:trHeight w:val="2168"/>
        </w:trPr>
        <w:tc>
          <w:tcPr>
            <w:tcW w:w="1908" w:type="dxa"/>
          </w:tcPr>
          <w:p w:rsidR="000C2285" w:rsidRPr="001F790C" w:rsidRDefault="000C2285" w:rsidP="001D7040">
            <w:pPr>
              <w:rPr>
                <w:sz w:val="20"/>
                <w:szCs w:val="20"/>
              </w:rPr>
            </w:pPr>
          </w:p>
        </w:tc>
        <w:tc>
          <w:tcPr>
            <w:tcW w:w="450" w:type="dxa"/>
            <w:textDirection w:val="btLr"/>
            <w:vAlign w:val="center"/>
          </w:tcPr>
          <w:p w:rsidR="000C2285" w:rsidRPr="001F790C" w:rsidRDefault="000C2285" w:rsidP="00200D2F">
            <w:pPr>
              <w:ind w:left="113" w:right="113"/>
              <w:jc w:val="center"/>
              <w:rPr>
                <w:sz w:val="20"/>
                <w:szCs w:val="20"/>
              </w:rPr>
            </w:pPr>
            <w:r w:rsidRPr="001F790C">
              <w:rPr>
                <w:sz w:val="20"/>
                <w:szCs w:val="20"/>
              </w:rPr>
              <w:t>Gender</w:t>
            </w:r>
          </w:p>
        </w:tc>
        <w:tc>
          <w:tcPr>
            <w:tcW w:w="630" w:type="dxa"/>
            <w:textDirection w:val="btLr"/>
            <w:vAlign w:val="center"/>
          </w:tcPr>
          <w:p w:rsidR="000C2285" w:rsidRPr="001F790C" w:rsidRDefault="000C2285" w:rsidP="00200D2F">
            <w:pPr>
              <w:ind w:left="113" w:right="113"/>
              <w:jc w:val="center"/>
              <w:rPr>
                <w:sz w:val="20"/>
                <w:szCs w:val="20"/>
              </w:rPr>
            </w:pPr>
            <w:r w:rsidRPr="001F790C">
              <w:rPr>
                <w:sz w:val="20"/>
                <w:szCs w:val="20"/>
              </w:rPr>
              <w:t>Ethnicity</w:t>
            </w:r>
          </w:p>
        </w:tc>
        <w:tc>
          <w:tcPr>
            <w:tcW w:w="454" w:type="dxa"/>
            <w:textDirection w:val="btLr"/>
            <w:vAlign w:val="center"/>
          </w:tcPr>
          <w:p w:rsidR="000C2285" w:rsidRPr="001F790C" w:rsidRDefault="003411B5" w:rsidP="00200D2F">
            <w:pPr>
              <w:ind w:left="113" w:right="113"/>
              <w:jc w:val="center"/>
              <w:rPr>
                <w:sz w:val="20"/>
                <w:szCs w:val="20"/>
              </w:rPr>
            </w:pPr>
            <w:r w:rsidRPr="001F790C">
              <w:rPr>
                <w:sz w:val="20"/>
                <w:szCs w:val="20"/>
              </w:rPr>
              <w:t>E</w:t>
            </w:r>
            <w:r>
              <w:rPr>
                <w:sz w:val="20"/>
                <w:szCs w:val="20"/>
              </w:rPr>
              <w:t>nglish/Language Arts</w:t>
            </w:r>
            <w:r w:rsidRPr="001F790C">
              <w:rPr>
                <w:sz w:val="20"/>
                <w:szCs w:val="20"/>
              </w:rPr>
              <w:t xml:space="preserve"> </w:t>
            </w:r>
            <w:r w:rsidR="000C2285" w:rsidRPr="001F790C">
              <w:rPr>
                <w:sz w:val="20"/>
                <w:szCs w:val="20"/>
              </w:rPr>
              <w:t>Grades</w:t>
            </w:r>
          </w:p>
        </w:tc>
        <w:tc>
          <w:tcPr>
            <w:tcW w:w="446" w:type="dxa"/>
            <w:textDirection w:val="btLr"/>
            <w:vAlign w:val="center"/>
          </w:tcPr>
          <w:p w:rsidR="000C2285" w:rsidRPr="001F790C" w:rsidRDefault="000C2285" w:rsidP="003411B5">
            <w:pPr>
              <w:ind w:left="113" w:right="113"/>
              <w:jc w:val="center"/>
              <w:rPr>
                <w:sz w:val="20"/>
                <w:szCs w:val="20"/>
              </w:rPr>
            </w:pPr>
            <w:r w:rsidRPr="001F790C">
              <w:rPr>
                <w:sz w:val="20"/>
                <w:szCs w:val="20"/>
              </w:rPr>
              <w:t>Math</w:t>
            </w:r>
            <w:r w:rsidR="00B02596">
              <w:rPr>
                <w:sz w:val="20"/>
                <w:szCs w:val="20"/>
              </w:rPr>
              <w:t xml:space="preserve"> </w:t>
            </w:r>
            <w:r w:rsidRPr="001F790C">
              <w:rPr>
                <w:sz w:val="20"/>
                <w:szCs w:val="20"/>
              </w:rPr>
              <w:t>Grades</w:t>
            </w:r>
          </w:p>
        </w:tc>
        <w:tc>
          <w:tcPr>
            <w:tcW w:w="540" w:type="dxa"/>
            <w:textDirection w:val="btLr"/>
            <w:vAlign w:val="center"/>
          </w:tcPr>
          <w:p w:rsidR="000C2285" w:rsidRPr="001F790C" w:rsidRDefault="000C2285" w:rsidP="00200D2F">
            <w:pPr>
              <w:ind w:left="113" w:right="113"/>
              <w:jc w:val="center"/>
              <w:rPr>
                <w:sz w:val="20"/>
                <w:szCs w:val="20"/>
              </w:rPr>
            </w:pPr>
            <w:r w:rsidRPr="001F790C">
              <w:rPr>
                <w:sz w:val="20"/>
                <w:szCs w:val="20"/>
              </w:rPr>
              <w:t>General GPA</w:t>
            </w:r>
          </w:p>
        </w:tc>
        <w:tc>
          <w:tcPr>
            <w:tcW w:w="630" w:type="dxa"/>
            <w:textDirection w:val="btLr"/>
            <w:vAlign w:val="center"/>
          </w:tcPr>
          <w:p w:rsidR="000C2285" w:rsidRPr="001F790C" w:rsidRDefault="000C2285" w:rsidP="00200D2F">
            <w:pPr>
              <w:ind w:left="113" w:right="113"/>
              <w:jc w:val="center"/>
              <w:rPr>
                <w:sz w:val="20"/>
                <w:szCs w:val="20"/>
              </w:rPr>
            </w:pPr>
            <w:r w:rsidRPr="001F790C">
              <w:rPr>
                <w:sz w:val="20"/>
                <w:szCs w:val="20"/>
              </w:rPr>
              <w:t>Number of Course Failures</w:t>
            </w:r>
          </w:p>
        </w:tc>
        <w:tc>
          <w:tcPr>
            <w:tcW w:w="450" w:type="dxa"/>
            <w:textDirection w:val="btLr"/>
            <w:vAlign w:val="center"/>
          </w:tcPr>
          <w:p w:rsidR="000C2285" w:rsidRPr="001F790C" w:rsidRDefault="000C2285" w:rsidP="00200D2F">
            <w:pPr>
              <w:ind w:left="113" w:right="113"/>
              <w:jc w:val="center"/>
              <w:rPr>
                <w:sz w:val="20"/>
                <w:szCs w:val="20"/>
              </w:rPr>
            </w:pPr>
            <w:r w:rsidRPr="001F790C">
              <w:rPr>
                <w:sz w:val="20"/>
                <w:szCs w:val="20"/>
              </w:rPr>
              <w:t>Repeated Grade/</w:t>
            </w:r>
          </w:p>
          <w:p w:rsidR="000C2285" w:rsidRPr="001F790C" w:rsidRDefault="000C2285" w:rsidP="00200D2F">
            <w:pPr>
              <w:ind w:left="113" w:right="113"/>
              <w:jc w:val="center"/>
              <w:rPr>
                <w:sz w:val="20"/>
                <w:szCs w:val="20"/>
              </w:rPr>
            </w:pPr>
            <w:r w:rsidRPr="001F790C">
              <w:rPr>
                <w:sz w:val="20"/>
                <w:szCs w:val="20"/>
              </w:rPr>
              <w:t>Overage</w:t>
            </w:r>
          </w:p>
        </w:tc>
        <w:tc>
          <w:tcPr>
            <w:tcW w:w="450" w:type="dxa"/>
            <w:textDirection w:val="btLr"/>
            <w:vAlign w:val="center"/>
          </w:tcPr>
          <w:p w:rsidR="000C2285" w:rsidRPr="001F790C" w:rsidRDefault="000C2285" w:rsidP="00200D2F">
            <w:pPr>
              <w:ind w:left="113" w:right="113"/>
              <w:jc w:val="center"/>
              <w:rPr>
                <w:sz w:val="20"/>
                <w:szCs w:val="20"/>
              </w:rPr>
            </w:pPr>
            <w:r w:rsidRPr="001F790C">
              <w:rPr>
                <w:sz w:val="20"/>
                <w:szCs w:val="20"/>
              </w:rPr>
              <w:t>Attendance/Absence</w:t>
            </w:r>
          </w:p>
        </w:tc>
        <w:tc>
          <w:tcPr>
            <w:tcW w:w="630" w:type="dxa"/>
            <w:textDirection w:val="btLr"/>
            <w:vAlign w:val="center"/>
          </w:tcPr>
          <w:p w:rsidR="000C2285" w:rsidRPr="001F790C" w:rsidRDefault="000C2285" w:rsidP="003411B5">
            <w:pPr>
              <w:ind w:left="113" w:right="113"/>
              <w:jc w:val="center"/>
              <w:rPr>
                <w:sz w:val="20"/>
                <w:szCs w:val="20"/>
              </w:rPr>
            </w:pPr>
            <w:r w:rsidRPr="001F790C">
              <w:rPr>
                <w:sz w:val="20"/>
                <w:szCs w:val="20"/>
              </w:rPr>
              <w:t>School Type</w:t>
            </w:r>
          </w:p>
        </w:tc>
        <w:tc>
          <w:tcPr>
            <w:tcW w:w="450" w:type="dxa"/>
            <w:textDirection w:val="btLr"/>
            <w:vAlign w:val="center"/>
          </w:tcPr>
          <w:p w:rsidR="000C2285" w:rsidRPr="001F790C" w:rsidRDefault="000C2285" w:rsidP="00200D2F">
            <w:pPr>
              <w:ind w:left="113" w:right="113"/>
              <w:jc w:val="center"/>
              <w:rPr>
                <w:sz w:val="20"/>
                <w:szCs w:val="20"/>
              </w:rPr>
            </w:pPr>
            <w:r w:rsidRPr="001F790C">
              <w:rPr>
                <w:sz w:val="20"/>
                <w:szCs w:val="20"/>
              </w:rPr>
              <w:t>Special Education</w:t>
            </w:r>
          </w:p>
        </w:tc>
        <w:tc>
          <w:tcPr>
            <w:tcW w:w="540" w:type="dxa"/>
            <w:textDirection w:val="btLr"/>
            <w:vAlign w:val="center"/>
          </w:tcPr>
          <w:p w:rsidR="000C2285" w:rsidRPr="00694BB7" w:rsidRDefault="000C2285" w:rsidP="00200D2F">
            <w:pPr>
              <w:ind w:left="113" w:right="113"/>
              <w:jc w:val="center"/>
              <w:rPr>
                <w:sz w:val="20"/>
                <w:szCs w:val="20"/>
              </w:rPr>
            </w:pPr>
            <w:r w:rsidRPr="00694BB7">
              <w:rPr>
                <w:sz w:val="20"/>
                <w:szCs w:val="20"/>
              </w:rPr>
              <w:t>Discipline</w:t>
            </w:r>
          </w:p>
        </w:tc>
        <w:tc>
          <w:tcPr>
            <w:tcW w:w="1998" w:type="dxa"/>
            <w:textDirection w:val="btLr"/>
            <w:vAlign w:val="center"/>
          </w:tcPr>
          <w:p w:rsidR="000C2285" w:rsidRPr="001F790C" w:rsidRDefault="000C2285" w:rsidP="00200D2F">
            <w:pPr>
              <w:ind w:left="113" w:right="113"/>
              <w:jc w:val="center"/>
              <w:rPr>
                <w:sz w:val="20"/>
                <w:szCs w:val="20"/>
              </w:rPr>
            </w:pPr>
            <w:r w:rsidRPr="001F790C">
              <w:rPr>
                <w:sz w:val="20"/>
                <w:szCs w:val="20"/>
              </w:rPr>
              <w:t>Other</w:t>
            </w:r>
          </w:p>
        </w:tc>
      </w:tr>
      <w:tr w:rsidR="000C2285" w:rsidRPr="001F790C" w:rsidTr="003411B5">
        <w:tc>
          <w:tcPr>
            <w:tcW w:w="1908" w:type="dxa"/>
            <w:vAlign w:val="center"/>
          </w:tcPr>
          <w:p w:rsidR="000C2285" w:rsidRPr="00B0226C" w:rsidRDefault="00C27685" w:rsidP="00347D44">
            <w:pPr>
              <w:spacing w:after="200" w:line="276" w:lineRule="auto"/>
              <w:contextualSpacing/>
              <w:rPr>
                <w:sz w:val="20"/>
                <w:szCs w:val="20"/>
              </w:rPr>
            </w:pPr>
            <w:proofErr w:type="spellStart"/>
            <w:r w:rsidRPr="00C27685">
              <w:rPr>
                <w:sz w:val="20"/>
                <w:szCs w:val="20"/>
              </w:rPr>
              <w:t>Allensworth</w:t>
            </w:r>
            <w:proofErr w:type="spellEnd"/>
            <w:r w:rsidRPr="00C27685">
              <w:rPr>
                <w:sz w:val="20"/>
                <w:szCs w:val="20"/>
              </w:rPr>
              <w:t xml:space="preserve"> and Easton (2007)</w:t>
            </w:r>
          </w:p>
        </w:tc>
        <w:tc>
          <w:tcPr>
            <w:tcW w:w="450" w:type="dxa"/>
            <w:vAlign w:val="center"/>
          </w:tcPr>
          <w:p w:rsidR="000C2285" w:rsidRPr="000C2285" w:rsidRDefault="000C2285" w:rsidP="00347D44">
            <w:pPr>
              <w:jc w:val="center"/>
              <w:rPr>
                <w:i/>
                <w:sz w:val="20"/>
                <w:szCs w:val="20"/>
              </w:rPr>
            </w:pPr>
            <w:r w:rsidRPr="000C2285">
              <w:rPr>
                <w:i/>
                <w:sz w:val="20"/>
                <w:szCs w:val="20"/>
              </w:rPr>
              <w:sym w:font="Symbol" w:char="F0D6"/>
            </w:r>
          </w:p>
        </w:tc>
        <w:tc>
          <w:tcPr>
            <w:tcW w:w="630" w:type="dxa"/>
            <w:vAlign w:val="center"/>
          </w:tcPr>
          <w:p w:rsidR="000C2285" w:rsidRPr="000C2285" w:rsidRDefault="000C2285" w:rsidP="00347D44">
            <w:pPr>
              <w:jc w:val="center"/>
              <w:rPr>
                <w:i/>
                <w:sz w:val="20"/>
                <w:szCs w:val="20"/>
              </w:rPr>
            </w:pPr>
          </w:p>
        </w:tc>
        <w:tc>
          <w:tcPr>
            <w:tcW w:w="454" w:type="dxa"/>
            <w:vAlign w:val="center"/>
          </w:tcPr>
          <w:p w:rsidR="000C2285" w:rsidRPr="000C2285" w:rsidRDefault="000C2285" w:rsidP="00347D44">
            <w:pPr>
              <w:jc w:val="center"/>
              <w:rPr>
                <w:i/>
                <w:sz w:val="20"/>
                <w:szCs w:val="20"/>
              </w:rPr>
            </w:pPr>
          </w:p>
        </w:tc>
        <w:tc>
          <w:tcPr>
            <w:tcW w:w="446" w:type="dxa"/>
            <w:vAlign w:val="center"/>
          </w:tcPr>
          <w:p w:rsidR="000C2285" w:rsidRPr="000C2285" w:rsidRDefault="000C2285" w:rsidP="00347D44">
            <w:pPr>
              <w:jc w:val="center"/>
              <w:rPr>
                <w:i/>
                <w:sz w:val="20"/>
                <w:szCs w:val="20"/>
              </w:rPr>
            </w:pPr>
          </w:p>
        </w:tc>
        <w:tc>
          <w:tcPr>
            <w:tcW w:w="540" w:type="dxa"/>
            <w:vAlign w:val="center"/>
          </w:tcPr>
          <w:p w:rsidR="000C2285" w:rsidRPr="000C2285" w:rsidRDefault="000C2285" w:rsidP="00347D44">
            <w:pPr>
              <w:jc w:val="center"/>
              <w:rPr>
                <w:i/>
                <w:sz w:val="20"/>
                <w:szCs w:val="20"/>
              </w:rPr>
            </w:pPr>
            <w:r w:rsidRPr="000C2285">
              <w:rPr>
                <w:i/>
                <w:sz w:val="20"/>
                <w:szCs w:val="20"/>
              </w:rPr>
              <w:sym w:font="Symbol" w:char="F0D6"/>
            </w:r>
          </w:p>
        </w:tc>
        <w:tc>
          <w:tcPr>
            <w:tcW w:w="630" w:type="dxa"/>
            <w:vAlign w:val="center"/>
          </w:tcPr>
          <w:p w:rsidR="000C2285" w:rsidRPr="000C2285" w:rsidRDefault="000C2285" w:rsidP="00347D44">
            <w:pPr>
              <w:jc w:val="center"/>
              <w:rPr>
                <w:i/>
                <w:sz w:val="20"/>
                <w:szCs w:val="20"/>
              </w:rPr>
            </w:pPr>
            <w:r w:rsidRPr="000C2285">
              <w:rPr>
                <w:i/>
                <w:sz w:val="20"/>
                <w:szCs w:val="20"/>
              </w:rPr>
              <w:sym w:font="Symbol" w:char="F0D6"/>
            </w:r>
          </w:p>
        </w:tc>
        <w:tc>
          <w:tcPr>
            <w:tcW w:w="450" w:type="dxa"/>
            <w:vAlign w:val="center"/>
          </w:tcPr>
          <w:p w:rsidR="000C2285" w:rsidRPr="000C2285" w:rsidRDefault="000C2285" w:rsidP="00347D44">
            <w:pPr>
              <w:jc w:val="center"/>
              <w:rPr>
                <w:i/>
                <w:sz w:val="20"/>
                <w:szCs w:val="20"/>
              </w:rPr>
            </w:pPr>
          </w:p>
        </w:tc>
        <w:tc>
          <w:tcPr>
            <w:tcW w:w="450" w:type="dxa"/>
            <w:vAlign w:val="center"/>
          </w:tcPr>
          <w:p w:rsidR="000C2285" w:rsidRPr="000C2285" w:rsidRDefault="000C2285" w:rsidP="00347D44">
            <w:pPr>
              <w:jc w:val="center"/>
              <w:rPr>
                <w:i/>
                <w:sz w:val="20"/>
                <w:szCs w:val="20"/>
              </w:rPr>
            </w:pPr>
            <w:r w:rsidRPr="000C2285">
              <w:rPr>
                <w:i/>
                <w:sz w:val="20"/>
                <w:szCs w:val="20"/>
              </w:rPr>
              <w:sym w:font="Symbol" w:char="F0D6"/>
            </w:r>
          </w:p>
        </w:tc>
        <w:tc>
          <w:tcPr>
            <w:tcW w:w="630" w:type="dxa"/>
            <w:vAlign w:val="center"/>
          </w:tcPr>
          <w:p w:rsidR="000C2285" w:rsidRPr="000C2285" w:rsidRDefault="000C2285" w:rsidP="00347D44">
            <w:pPr>
              <w:jc w:val="center"/>
              <w:rPr>
                <w:i/>
                <w:sz w:val="20"/>
                <w:szCs w:val="20"/>
              </w:rPr>
            </w:pPr>
          </w:p>
        </w:tc>
        <w:tc>
          <w:tcPr>
            <w:tcW w:w="450" w:type="dxa"/>
            <w:vAlign w:val="center"/>
          </w:tcPr>
          <w:p w:rsidR="000C2285" w:rsidRPr="000C2285" w:rsidRDefault="000C2285" w:rsidP="00347D44">
            <w:pPr>
              <w:jc w:val="center"/>
              <w:rPr>
                <w:i/>
                <w:sz w:val="20"/>
                <w:szCs w:val="20"/>
              </w:rPr>
            </w:pPr>
          </w:p>
        </w:tc>
        <w:tc>
          <w:tcPr>
            <w:tcW w:w="540" w:type="dxa"/>
            <w:vAlign w:val="center"/>
          </w:tcPr>
          <w:p w:rsidR="000C2285" w:rsidRPr="000C2285" w:rsidRDefault="000C2285" w:rsidP="00347D44">
            <w:pPr>
              <w:jc w:val="center"/>
              <w:rPr>
                <w:i/>
                <w:sz w:val="20"/>
                <w:szCs w:val="20"/>
              </w:rPr>
            </w:pPr>
          </w:p>
        </w:tc>
        <w:tc>
          <w:tcPr>
            <w:tcW w:w="1998" w:type="dxa"/>
            <w:vAlign w:val="center"/>
          </w:tcPr>
          <w:p w:rsidR="000C2285" w:rsidRPr="00B0226C" w:rsidRDefault="00C27685" w:rsidP="000C2285">
            <w:pPr>
              <w:spacing w:after="200" w:line="276" w:lineRule="auto"/>
              <w:contextualSpacing/>
              <w:rPr>
                <w:sz w:val="20"/>
                <w:szCs w:val="20"/>
              </w:rPr>
            </w:pPr>
            <w:r w:rsidRPr="00C27685">
              <w:rPr>
                <w:sz w:val="20"/>
                <w:szCs w:val="20"/>
              </w:rPr>
              <w:t>School Climate</w:t>
            </w:r>
          </w:p>
        </w:tc>
      </w:tr>
      <w:tr w:rsidR="000C2285" w:rsidRPr="001F790C" w:rsidTr="003411B5">
        <w:tc>
          <w:tcPr>
            <w:tcW w:w="1908" w:type="dxa"/>
            <w:vAlign w:val="center"/>
          </w:tcPr>
          <w:p w:rsidR="000C2285" w:rsidRPr="001F790C" w:rsidRDefault="000C2285" w:rsidP="00347D44">
            <w:pPr>
              <w:rPr>
                <w:sz w:val="20"/>
                <w:szCs w:val="20"/>
              </w:rPr>
            </w:pPr>
            <w:proofErr w:type="spellStart"/>
            <w:r w:rsidRPr="001F790C">
              <w:rPr>
                <w:sz w:val="20"/>
                <w:szCs w:val="20"/>
              </w:rPr>
              <w:t>Nelid</w:t>
            </w:r>
            <w:proofErr w:type="spellEnd"/>
            <w:r w:rsidRPr="001F790C">
              <w:rPr>
                <w:sz w:val="20"/>
                <w:szCs w:val="20"/>
              </w:rPr>
              <w:t xml:space="preserve"> and </w:t>
            </w:r>
            <w:proofErr w:type="spellStart"/>
            <w:r w:rsidRPr="001F790C">
              <w:rPr>
                <w:sz w:val="20"/>
                <w:szCs w:val="20"/>
              </w:rPr>
              <w:t>Balfanz</w:t>
            </w:r>
            <w:proofErr w:type="spellEnd"/>
            <w:r w:rsidRPr="001F790C">
              <w:rPr>
                <w:sz w:val="20"/>
                <w:szCs w:val="20"/>
              </w:rPr>
              <w:t xml:space="preserve"> (2006)</w:t>
            </w:r>
          </w:p>
        </w:tc>
        <w:tc>
          <w:tcPr>
            <w:tcW w:w="450" w:type="dxa"/>
            <w:vAlign w:val="center"/>
          </w:tcPr>
          <w:p w:rsidR="000C2285" w:rsidRPr="000C2285" w:rsidRDefault="000C2285" w:rsidP="00347D44">
            <w:pPr>
              <w:jc w:val="center"/>
              <w:rPr>
                <w:sz w:val="20"/>
                <w:szCs w:val="20"/>
              </w:rPr>
            </w:pPr>
            <w:r w:rsidRPr="000C2285">
              <w:rPr>
                <w:i/>
                <w:sz w:val="20"/>
                <w:szCs w:val="20"/>
              </w:rPr>
              <w:sym w:font="Symbol" w:char="F0D6"/>
            </w:r>
          </w:p>
        </w:tc>
        <w:tc>
          <w:tcPr>
            <w:tcW w:w="630" w:type="dxa"/>
            <w:vAlign w:val="center"/>
          </w:tcPr>
          <w:p w:rsidR="000C2285" w:rsidRPr="000C2285" w:rsidRDefault="000C2285" w:rsidP="00347D44">
            <w:pPr>
              <w:jc w:val="center"/>
              <w:rPr>
                <w:sz w:val="20"/>
                <w:szCs w:val="20"/>
              </w:rPr>
            </w:pPr>
            <w:r w:rsidRPr="000C2285">
              <w:rPr>
                <w:i/>
                <w:sz w:val="20"/>
                <w:szCs w:val="20"/>
              </w:rPr>
              <w:sym w:font="Symbol" w:char="F0D6"/>
            </w:r>
          </w:p>
        </w:tc>
        <w:tc>
          <w:tcPr>
            <w:tcW w:w="454" w:type="dxa"/>
            <w:vAlign w:val="center"/>
          </w:tcPr>
          <w:p w:rsidR="000C2285" w:rsidRPr="000C2285" w:rsidRDefault="000C2285" w:rsidP="00347D44">
            <w:pPr>
              <w:jc w:val="center"/>
              <w:rPr>
                <w:sz w:val="20"/>
                <w:szCs w:val="20"/>
              </w:rPr>
            </w:pPr>
          </w:p>
        </w:tc>
        <w:tc>
          <w:tcPr>
            <w:tcW w:w="446" w:type="dxa"/>
            <w:vAlign w:val="center"/>
          </w:tcPr>
          <w:p w:rsidR="000C2285" w:rsidRPr="000C2285" w:rsidRDefault="000C2285" w:rsidP="00347D44">
            <w:pPr>
              <w:jc w:val="center"/>
              <w:rPr>
                <w:sz w:val="20"/>
                <w:szCs w:val="20"/>
              </w:rPr>
            </w:pPr>
          </w:p>
        </w:tc>
        <w:tc>
          <w:tcPr>
            <w:tcW w:w="540" w:type="dxa"/>
            <w:vAlign w:val="center"/>
          </w:tcPr>
          <w:p w:rsidR="000C2285" w:rsidRPr="000C2285" w:rsidRDefault="000C2285" w:rsidP="00347D44">
            <w:pPr>
              <w:jc w:val="center"/>
              <w:rPr>
                <w:sz w:val="20"/>
                <w:szCs w:val="20"/>
              </w:rPr>
            </w:pPr>
          </w:p>
        </w:tc>
        <w:tc>
          <w:tcPr>
            <w:tcW w:w="630" w:type="dxa"/>
            <w:vAlign w:val="center"/>
          </w:tcPr>
          <w:p w:rsidR="000C2285" w:rsidRPr="000C2285" w:rsidRDefault="000C2285" w:rsidP="00347D44">
            <w:pPr>
              <w:jc w:val="center"/>
              <w:rPr>
                <w:sz w:val="20"/>
                <w:szCs w:val="20"/>
              </w:rPr>
            </w:pPr>
          </w:p>
        </w:tc>
        <w:tc>
          <w:tcPr>
            <w:tcW w:w="450" w:type="dxa"/>
            <w:vAlign w:val="center"/>
          </w:tcPr>
          <w:p w:rsidR="000C2285" w:rsidRPr="000C2285" w:rsidRDefault="000C2285" w:rsidP="00347D44">
            <w:pPr>
              <w:jc w:val="center"/>
              <w:rPr>
                <w:sz w:val="20"/>
                <w:szCs w:val="20"/>
              </w:rPr>
            </w:pPr>
          </w:p>
        </w:tc>
        <w:tc>
          <w:tcPr>
            <w:tcW w:w="450" w:type="dxa"/>
            <w:vAlign w:val="center"/>
          </w:tcPr>
          <w:p w:rsidR="000C2285" w:rsidRPr="000C2285" w:rsidRDefault="000C2285" w:rsidP="00347D44">
            <w:pPr>
              <w:jc w:val="center"/>
              <w:rPr>
                <w:sz w:val="20"/>
                <w:szCs w:val="20"/>
              </w:rPr>
            </w:pPr>
            <w:r w:rsidRPr="000C2285">
              <w:rPr>
                <w:i/>
                <w:sz w:val="20"/>
                <w:szCs w:val="20"/>
              </w:rPr>
              <w:sym w:font="Symbol" w:char="F0D6"/>
            </w:r>
          </w:p>
        </w:tc>
        <w:tc>
          <w:tcPr>
            <w:tcW w:w="630" w:type="dxa"/>
            <w:vAlign w:val="center"/>
          </w:tcPr>
          <w:p w:rsidR="000C2285" w:rsidRPr="000C2285" w:rsidRDefault="000C2285" w:rsidP="00347D44">
            <w:pPr>
              <w:jc w:val="center"/>
              <w:rPr>
                <w:sz w:val="20"/>
                <w:szCs w:val="20"/>
              </w:rPr>
            </w:pPr>
            <w:r w:rsidRPr="000C2285">
              <w:rPr>
                <w:i/>
                <w:sz w:val="20"/>
                <w:szCs w:val="20"/>
              </w:rPr>
              <w:sym w:font="Symbol" w:char="F0D6"/>
            </w:r>
            <w:r w:rsidR="004E2DA8" w:rsidRPr="004E2DA8">
              <w:rPr>
                <w:i/>
                <w:sz w:val="24"/>
                <w:szCs w:val="24"/>
                <w:vertAlign w:val="superscript"/>
              </w:rPr>
              <w:t>***</w:t>
            </w:r>
          </w:p>
        </w:tc>
        <w:tc>
          <w:tcPr>
            <w:tcW w:w="450" w:type="dxa"/>
            <w:vAlign w:val="center"/>
          </w:tcPr>
          <w:p w:rsidR="000C2285" w:rsidRPr="000C2285" w:rsidRDefault="000C2285" w:rsidP="00347D44">
            <w:pPr>
              <w:jc w:val="center"/>
              <w:rPr>
                <w:sz w:val="20"/>
                <w:szCs w:val="20"/>
              </w:rPr>
            </w:pPr>
          </w:p>
        </w:tc>
        <w:tc>
          <w:tcPr>
            <w:tcW w:w="540" w:type="dxa"/>
            <w:vAlign w:val="center"/>
          </w:tcPr>
          <w:p w:rsidR="000C2285" w:rsidRPr="000C2285" w:rsidRDefault="000C2285" w:rsidP="00347D44">
            <w:pPr>
              <w:jc w:val="center"/>
              <w:rPr>
                <w:sz w:val="20"/>
                <w:szCs w:val="20"/>
              </w:rPr>
            </w:pPr>
          </w:p>
        </w:tc>
        <w:tc>
          <w:tcPr>
            <w:tcW w:w="1998" w:type="dxa"/>
            <w:vAlign w:val="center"/>
          </w:tcPr>
          <w:p w:rsidR="000C2285" w:rsidRPr="000C2285" w:rsidRDefault="000C2285" w:rsidP="000C2285">
            <w:pPr>
              <w:rPr>
                <w:sz w:val="20"/>
                <w:szCs w:val="20"/>
              </w:rPr>
            </w:pPr>
            <w:r w:rsidRPr="000C2285">
              <w:rPr>
                <w:sz w:val="20"/>
                <w:szCs w:val="20"/>
              </w:rPr>
              <w:t>Poverty</w:t>
            </w:r>
          </w:p>
        </w:tc>
      </w:tr>
      <w:tr w:rsidR="000C2285" w:rsidRPr="001F790C" w:rsidTr="003411B5">
        <w:tc>
          <w:tcPr>
            <w:tcW w:w="1908" w:type="dxa"/>
            <w:vAlign w:val="center"/>
          </w:tcPr>
          <w:p w:rsidR="000C2285" w:rsidRPr="001F790C" w:rsidRDefault="000C2285" w:rsidP="00347D44">
            <w:pPr>
              <w:rPr>
                <w:sz w:val="20"/>
                <w:szCs w:val="20"/>
              </w:rPr>
            </w:pPr>
            <w:r w:rsidRPr="001F790C">
              <w:rPr>
                <w:sz w:val="20"/>
                <w:szCs w:val="20"/>
              </w:rPr>
              <w:t xml:space="preserve">MacIver et </w:t>
            </w:r>
            <w:r w:rsidR="00B0226C" w:rsidRPr="001F790C">
              <w:rPr>
                <w:sz w:val="20"/>
                <w:szCs w:val="20"/>
              </w:rPr>
              <w:t>A</w:t>
            </w:r>
            <w:r w:rsidRPr="001F790C">
              <w:rPr>
                <w:sz w:val="20"/>
                <w:szCs w:val="20"/>
              </w:rPr>
              <w:t>l</w:t>
            </w:r>
            <w:r w:rsidR="00B0226C">
              <w:rPr>
                <w:sz w:val="20"/>
                <w:szCs w:val="20"/>
              </w:rPr>
              <w:t>.</w:t>
            </w:r>
            <w:r w:rsidRPr="001F790C">
              <w:rPr>
                <w:sz w:val="20"/>
                <w:szCs w:val="20"/>
              </w:rPr>
              <w:t xml:space="preserve"> (2009a and 2009b)*</w:t>
            </w:r>
          </w:p>
        </w:tc>
        <w:tc>
          <w:tcPr>
            <w:tcW w:w="450" w:type="dxa"/>
            <w:vAlign w:val="center"/>
          </w:tcPr>
          <w:p w:rsidR="000C2285" w:rsidRPr="000C2285" w:rsidRDefault="000C2285" w:rsidP="00347D44">
            <w:pPr>
              <w:jc w:val="center"/>
              <w:rPr>
                <w:sz w:val="20"/>
                <w:szCs w:val="20"/>
              </w:rPr>
            </w:pPr>
            <w:r w:rsidRPr="000C2285">
              <w:rPr>
                <w:i/>
                <w:sz w:val="20"/>
                <w:szCs w:val="20"/>
              </w:rPr>
              <w:sym w:font="Symbol" w:char="F0D6"/>
            </w:r>
          </w:p>
        </w:tc>
        <w:tc>
          <w:tcPr>
            <w:tcW w:w="630" w:type="dxa"/>
            <w:vAlign w:val="center"/>
          </w:tcPr>
          <w:p w:rsidR="000C2285" w:rsidRPr="000C2285" w:rsidRDefault="000C2285" w:rsidP="00347D44">
            <w:pPr>
              <w:jc w:val="center"/>
              <w:rPr>
                <w:sz w:val="20"/>
                <w:szCs w:val="20"/>
              </w:rPr>
            </w:pPr>
            <w:r w:rsidRPr="000C2285">
              <w:rPr>
                <w:i/>
                <w:sz w:val="20"/>
                <w:szCs w:val="20"/>
              </w:rPr>
              <w:sym w:font="Symbol" w:char="F0D6"/>
            </w:r>
          </w:p>
        </w:tc>
        <w:tc>
          <w:tcPr>
            <w:tcW w:w="454" w:type="dxa"/>
            <w:vAlign w:val="center"/>
          </w:tcPr>
          <w:p w:rsidR="000C2285" w:rsidRPr="000C2285" w:rsidRDefault="000C2285" w:rsidP="00347D44">
            <w:pPr>
              <w:jc w:val="center"/>
              <w:rPr>
                <w:sz w:val="20"/>
                <w:szCs w:val="20"/>
              </w:rPr>
            </w:pPr>
          </w:p>
        </w:tc>
        <w:tc>
          <w:tcPr>
            <w:tcW w:w="446" w:type="dxa"/>
            <w:vAlign w:val="center"/>
          </w:tcPr>
          <w:p w:rsidR="000C2285" w:rsidRPr="000C2285" w:rsidRDefault="000C2285" w:rsidP="00347D44">
            <w:pPr>
              <w:jc w:val="center"/>
              <w:rPr>
                <w:sz w:val="20"/>
                <w:szCs w:val="20"/>
              </w:rPr>
            </w:pPr>
          </w:p>
        </w:tc>
        <w:tc>
          <w:tcPr>
            <w:tcW w:w="540" w:type="dxa"/>
            <w:vAlign w:val="center"/>
          </w:tcPr>
          <w:p w:rsidR="000C2285" w:rsidRPr="000C2285" w:rsidRDefault="000C2285" w:rsidP="00347D44">
            <w:pPr>
              <w:jc w:val="center"/>
              <w:rPr>
                <w:sz w:val="20"/>
                <w:szCs w:val="20"/>
              </w:rPr>
            </w:pPr>
          </w:p>
        </w:tc>
        <w:tc>
          <w:tcPr>
            <w:tcW w:w="630" w:type="dxa"/>
            <w:vAlign w:val="center"/>
          </w:tcPr>
          <w:p w:rsidR="000C2285" w:rsidRPr="000C2285" w:rsidRDefault="000C2285" w:rsidP="00347D44">
            <w:pPr>
              <w:jc w:val="center"/>
              <w:rPr>
                <w:sz w:val="20"/>
                <w:szCs w:val="20"/>
              </w:rPr>
            </w:pPr>
          </w:p>
        </w:tc>
        <w:tc>
          <w:tcPr>
            <w:tcW w:w="450" w:type="dxa"/>
            <w:vAlign w:val="center"/>
          </w:tcPr>
          <w:p w:rsidR="000C2285" w:rsidRPr="000C2285" w:rsidRDefault="000C2285" w:rsidP="00347D44">
            <w:pPr>
              <w:jc w:val="center"/>
              <w:rPr>
                <w:sz w:val="20"/>
                <w:szCs w:val="20"/>
              </w:rPr>
            </w:pPr>
          </w:p>
        </w:tc>
        <w:tc>
          <w:tcPr>
            <w:tcW w:w="450" w:type="dxa"/>
            <w:vAlign w:val="center"/>
          </w:tcPr>
          <w:p w:rsidR="000C2285" w:rsidRPr="000C2285" w:rsidRDefault="000C2285" w:rsidP="00347D44">
            <w:pPr>
              <w:jc w:val="center"/>
              <w:rPr>
                <w:sz w:val="20"/>
                <w:szCs w:val="20"/>
              </w:rPr>
            </w:pPr>
            <w:r w:rsidRPr="000C2285">
              <w:rPr>
                <w:i/>
                <w:sz w:val="20"/>
                <w:szCs w:val="20"/>
              </w:rPr>
              <w:sym w:font="Symbol" w:char="F0D6"/>
            </w:r>
          </w:p>
        </w:tc>
        <w:tc>
          <w:tcPr>
            <w:tcW w:w="630" w:type="dxa"/>
            <w:vAlign w:val="center"/>
          </w:tcPr>
          <w:p w:rsidR="000C2285" w:rsidRPr="000C2285" w:rsidRDefault="000C2285" w:rsidP="00347D44">
            <w:pPr>
              <w:jc w:val="center"/>
              <w:rPr>
                <w:sz w:val="20"/>
                <w:szCs w:val="20"/>
              </w:rPr>
            </w:pPr>
          </w:p>
        </w:tc>
        <w:tc>
          <w:tcPr>
            <w:tcW w:w="450" w:type="dxa"/>
            <w:vAlign w:val="center"/>
          </w:tcPr>
          <w:p w:rsidR="000C2285" w:rsidRPr="000C2285" w:rsidRDefault="000C2285" w:rsidP="00347D44">
            <w:pPr>
              <w:jc w:val="center"/>
              <w:rPr>
                <w:sz w:val="20"/>
                <w:szCs w:val="20"/>
              </w:rPr>
            </w:pPr>
            <w:r w:rsidRPr="000C2285">
              <w:rPr>
                <w:i/>
                <w:sz w:val="20"/>
                <w:szCs w:val="20"/>
              </w:rPr>
              <w:sym w:font="Symbol" w:char="F0D6"/>
            </w:r>
          </w:p>
        </w:tc>
        <w:tc>
          <w:tcPr>
            <w:tcW w:w="540" w:type="dxa"/>
            <w:vAlign w:val="center"/>
          </w:tcPr>
          <w:p w:rsidR="000C2285" w:rsidRPr="000C2285" w:rsidRDefault="000C2285" w:rsidP="00347D44">
            <w:pPr>
              <w:jc w:val="center"/>
              <w:rPr>
                <w:sz w:val="20"/>
                <w:szCs w:val="20"/>
              </w:rPr>
            </w:pPr>
            <w:r w:rsidRPr="000C2285">
              <w:rPr>
                <w:i/>
                <w:sz w:val="20"/>
                <w:szCs w:val="20"/>
              </w:rPr>
              <w:sym w:font="Symbol" w:char="F0D6"/>
            </w:r>
            <w:r w:rsidRPr="000C2285">
              <w:rPr>
                <w:i/>
                <w:sz w:val="20"/>
                <w:szCs w:val="20"/>
              </w:rPr>
              <w:t>**</w:t>
            </w:r>
          </w:p>
        </w:tc>
        <w:tc>
          <w:tcPr>
            <w:tcW w:w="1998" w:type="dxa"/>
            <w:vAlign w:val="center"/>
          </w:tcPr>
          <w:p w:rsidR="000C2285" w:rsidRPr="000C2285" w:rsidRDefault="000C2285" w:rsidP="000C2285">
            <w:pPr>
              <w:rPr>
                <w:sz w:val="20"/>
                <w:szCs w:val="20"/>
              </w:rPr>
            </w:pPr>
            <w:r w:rsidRPr="000C2285">
              <w:rPr>
                <w:sz w:val="20"/>
                <w:szCs w:val="20"/>
              </w:rPr>
              <w:t>Semester Failures</w:t>
            </w:r>
          </w:p>
        </w:tc>
      </w:tr>
      <w:tr w:rsidR="00347D44" w:rsidRPr="001F790C" w:rsidTr="003411B5">
        <w:trPr>
          <w:trHeight w:val="251"/>
        </w:trPr>
        <w:tc>
          <w:tcPr>
            <w:tcW w:w="1908" w:type="dxa"/>
            <w:vMerge w:val="restart"/>
            <w:vAlign w:val="center"/>
          </w:tcPr>
          <w:p w:rsidR="00347D44" w:rsidRPr="001F790C" w:rsidRDefault="00347D44" w:rsidP="00347D44">
            <w:pPr>
              <w:rPr>
                <w:sz w:val="20"/>
                <w:szCs w:val="20"/>
              </w:rPr>
            </w:pPr>
            <w:proofErr w:type="spellStart"/>
            <w:r w:rsidRPr="001F790C">
              <w:rPr>
                <w:sz w:val="20"/>
                <w:szCs w:val="20"/>
              </w:rPr>
              <w:t>Balfanz</w:t>
            </w:r>
            <w:proofErr w:type="spellEnd"/>
            <w:r w:rsidRPr="001F790C">
              <w:rPr>
                <w:sz w:val="20"/>
                <w:szCs w:val="20"/>
              </w:rPr>
              <w:t xml:space="preserve"> et al. (2010)</w:t>
            </w:r>
          </w:p>
        </w:tc>
        <w:tc>
          <w:tcPr>
            <w:tcW w:w="450" w:type="dxa"/>
            <w:vMerge w:val="restart"/>
            <w:vAlign w:val="center"/>
          </w:tcPr>
          <w:p w:rsidR="00347D44" w:rsidRPr="000C2285" w:rsidRDefault="00347D44" w:rsidP="00347D44">
            <w:pPr>
              <w:jc w:val="center"/>
              <w:rPr>
                <w:sz w:val="20"/>
                <w:szCs w:val="20"/>
              </w:rPr>
            </w:pPr>
            <w:r w:rsidRPr="000C2285">
              <w:rPr>
                <w:i/>
                <w:sz w:val="20"/>
                <w:szCs w:val="20"/>
              </w:rPr>
              <w:sym w:font="Symbol" w:char="F0D6"/>
            </w:r>
          </w:p>
        </w:tc>
        <w:tc>
          <w:tcPr>
            <w:tcW w:w="630" w:type="dxa"/>
            <w:vMerge w:val="restart"/>
            <w:vAlign w:val="center"/>
          </w:tcPr>
          <w:p w:rsidR="00347D44" w:rsidRPr="000C2285" w:rsidRDefault="00347D44" w:rsidP="00347D44">
            <w:pPr>
              <w:jc w:val="center"/>
              <w:rPr>
                <w:sz w:val="20"/>
                <w:szCs w:val="20"/>
              </w:rPr>
            </w:pPr>
            <w:r w:rsidRPr="000C2285">
              <w:rPr>
                <w:i/>
                <w:sz w:val="20"/>
                <w:szCs w:val="20"/>
              </w:rPr>
              <w:sym w:font="Symbol" w:char="F0D6"/>
            </w:r>
          </w:p>
        </w:tc>
        <w:tc>
          <w:tcPr>
            <w:tcW w:w="454" w:type="dxa"/>
            <w:vMerge w:val="restart"/>
            <w:vAlign w:val="center"/>
          </w:tcPr>
          <w:p w:rsidR="00347D44" w:rsidRPr="000C2285" w:rsidRDefault="00347D44" w:rsidP="00347D44">
            <w:pPr>
              <w:jc w:val="center"/>
              <w:rPr>
                <w:sz w:val="20"/>
                <w:szCs w:val="20"/>
              </w:rPr>
            </w:pPr>
            <w:r w:rsidRPr="000C2285">
              <w:rPr>
                <w:i/>
                <w:sz w:val="20"/>
                <w:szCs w:val="20"/>
              </w:rPr>
              <w:sym w:font="Symbol" w:char="F0D6"/>
            </w:r>
          </w:p>
        </w:tc>
        <w:tc>
          <w:tcPr>
            <w:tcW w:w="446" w:type="dxa"/>
            <w:vMerge w:val="restart"/>
            <w:vAlign w:val="center"/>
          </w:tcPr>
          <w:p w:rsidR="00347D44" w:rsidRPr="000C2285" w:rsidRDefault="00347D44" w:rsidP="00347D44">
            <w:pPr>
              <w:jc w:val="center"/>
              <w:rPr>
                <w:sz w:val="20"/>
                <w:szCs w:val="20"/>
              </w:rPr>
            </w:pPr>
            <w:r w:rsidRPr="000C2285">
              <w:rPr>
                <w:i/>
                <w:sz w:val="20"/>
                <w:szCs w:val="20"/>
              </w:rPr>
              <w:sym w:font="Symbol" w:char="F0D6"/>
            </w:r>
          </w:p>
        </w:tc>
        <w:tc>
          <w:tcPr>
            <w:tcW w:w="540" w:type="dxa"/>
            <w:vMerge w:val="restart"/>
            <w:vAlign w:val="center"/>
          </w:tcPr>
          <w:p w:rsidR="00347D44" w:rsidRPr="000C2285" w:rsidRDefault="00347D44" w:rsidP="00347D44">
            <w:pPr>
              <w:jc w:val="center"/>
              <w:rPr>
                <w:sz w:val="20"/>
                <w:szCs w:val="20"/>
              </w:rPr>
            </w:pPr>
          </w:p>
        </w:tc>
        <w:tc>
          <w:tcPr>
            <w:tcW w:w="630" w:type="dxa"/>
            <w:vMerge w:val="restart"/>
            <w:vAlign w:val="center"/>
          </w:tcPr>
          <w:p w:rsidR="00347D44" w:rsidRPr="000C2285" w:rsidRDefault="00347D44" w:rsidP="00347D44">
            <w:pPr>
              <w:jc w:val="center"/>
              <w:rPr>
                <w:sz w:val="20"/>
                <w:szCs w:val="20"/>
              </w:rPr>
            </w:pPr>
            <w:r w:rsidRPr="000C2285">
              <w:rPr>
                <w:i/>
                <w:sz w:val="20"/>
                <w:szCs w:val="20"/>
              </w:rPr>
              <w:sym w:font="Symbol" w:char="F0D6"/>
            </w:r>
          </w:p>
        </w:tc>
        <w:tc>
          <w:tcPr>
            <w:tcW w:w="450" w:type="dxa"/>
            <w:vMerge w:val="restart"/>
            <w:vAlign w:val="center"/>
          </w:tcPr>
          <w:p w:rsidR="00347D44" w:rsidRPr="000C2285" w:rsidRDefault="00347D44" w:rsidP="00347D44">
            <w:pPr>
              <w:jc w:val="center"/>
              <w:rPr>
                <w:sz w:val="20"/>
                <w:szCs w:val="20"/>
              </w:rPr>
            </w:pPr>
            <w:r w:rsidRPr="000C2285">
              <w:rPr>
                <w:i/>
                <w:sz w:val="20"/>
                <w:szCs w:val="20"/>
              </w:rPr>
              <w:sym w:font="Symbol" w:char="F0D6"/>
            </w:r>
          </w:p>
        </w:tc>
        <w:tc>
          <w:tcPr>
            <w:tcW w:w="450" w:type="dxa"/>
            <w:vMerge w:val="restart"/>
            <w:vAlign w:val="center"/>
          </w:tcPr>
          <w:p w:rsidR="00347D44" w:rsidRPr="000C2285" w:rsidRDefault="00347D44" w:rsidP="00347D44">
            <w:pPr>
              <w:jc w:val="center"/>
              <w:rPr>
                <w:sz w:val="20"/>
                <w:szCs w:val="20"/>
              </w:rPr>
            </w:pPr>
            <w:r w:rsidRPr="000C2285">
              <w:rPr>
                <w:i/>
                <w:sz w:val="20"/>
                <w:szCs w:val="20"/>
              </w:rPr>
              <w:sym w:font="Symbol" w:char="F0D6"/>
            </w:r>
          </w:p>
        </w:tc>
        <w:tc>
          <w:tcPr>
            <w:tcW w:w="630" w:type="dxa"/>
            <w:vMerge w:val="restart"/>
            <w:vAlign w:val="center"/>
          </w:tcPr>
          <w:p w:rsidR="00347D44" w:rsidRPr="000C2285" w:rsidRDefault="00347D44" w:rsidP="00347D44">
            <w:pPr>
              <w:jc w:val="center"/>
              <w:rPr>
                <w:sz w:val="20"/>
                <w:szCs w:val="20"/>
              </w:rPr>
            </w:pPr>
          </w:p>
        </w:tc>
        <w:tc>
          <w:tcPr>
            <w:tcW w:w="450" w:type="dxa"/>
            <w:vMerge w:val="restart"/>
            <w:vAlign w:val="center"/>
          </w:tcPr>
          <w:p w:rsidR="00347D44" w:rsidRPr="000C2285" w:rsidRDefault="00347D44" w:rsidP="00347D44">
            <w:pPr>
              <w:jc w:val="center"/>
              <w:rPr>
                <w:sz w:val="20"/>
                <w:szCs w:val="20"/>
              </w:rPr>
            </w:pPr>
          </w:p>
        </w:tc>
        <w:tc>
          <w:tcPr>
            <w:tcW w:w="540" w:type="dxa"/>
            <w:vMerge w:val="restart"/>
            <w:vAlign w:val="center"/>
          </w:tcPr>
          <w:p w:rsidR="00347D44" w:rsidRPr="000C2285" w:rsidRDefault="00347D44" w:rsidP="00347D44">
            <w:pPr>
              <w:jc w:val="center"/>
              <w:rPr>
                <w:sz w:val="20"/>
                <w:szCs w:val="20"/>
              </w:rPr>
            </w:pPr>
          </w:p>
        </w:tc>
        <w:tc>
          <w:tcPr>
            <w:tcW w:w="1998" w:type="dxa"/>
            <w:vAlign w:val="center"/>
          </w:tcPr>
          <w:p w:rsidR="00347D44" w:rsidRPr="000C2285" w:rsidRDefault="00347D44" w:rsidP="00347D44">
            <w:pPr>
              <w:rPr>
                <w:sz w:val="20"/>
                <w:szCs w:val="20"/>
              </w:rPr>
            </w:pPr>
            <w:r w:rsidRPr="000C2285">
              <w:rPr>
                <w:sz w:val="20"/>
                <w:szCs w:val="20"/>
              </w:rPr>
              <w:t>Proficiency on State Assessments</w:t>
            </w:r>
          </w:p>
        </w:tc>
      </w:tr>
      <w:tr w:rsidR="00347D44" w:rsidRPr="001F790C" w:rsidTr="003411B5">
        <w:trPr>
          <w:trHeight w:val="250"/>
        </w:trPr>
        <w:tc>
          <w:tcPr>
            <w:tcW w:w="1908" w:type="dxa"/>
            <w:vMerge/>
          </w:tcPr>
          <w:p w:rsidR="00347D44" w:rsidRPr="001F790C" w:rsidRDefault="00347D44">
            <w:pPr>
              <w:rPr>
                <w:sz w:val="20"/>
                <w:szCs w:val="20"/>
              </w:rPr>
            </w:pPr>
          </w:p>
        </w:tc>
        <w:tc>
          <w:tcPr>
            <w:tcW w:w="450" w:type="dxa"/>
            <w:vMerge/>
            <w:vAlign w:val="center"/>
          </w:tcPr>
          <w:p w:rsidR="00347D44" w:rsidRPr="000C2285" w:rsidRDefault="00347D44" w:rsidP="00B74417">
            <w:pPr>
              <w:jc w:val="center"/>
              <w:rPr>
                <w:i/>
                <w:sz w:val="20"/>
                <w:szCs w:val="20"/>
              </w:rPr>
            </w:pPr>
          </w:p>
        </w:tc>
        <w:tc>
          <w:tcPr>
            <w:tcW w:w="630" w:type="dxa"/>
            <w:vMerge/>
            <w:vAlign w:val="center"/>
          </w:tcPr>
          <w:p w:rsidR="00347D44" w:rsidRPr="000C2285" w:rsidRDefault="00347D44" w:rsidP="00B74417">
            <w:pPr>
              <w:jc w:val="center"/>
              <w:rPr>
                <w:i/>
                <w:sz w:val="20"/>
                <w:szCs w:val="20"/>
              </w:rPr>
            </w:pPr>
          </w:p>
        </w:tc>
        <w:tc>
          <w:tcPr>
            <w:tcW w:w="454" w:type="dxa"/>
            <w:vMerge/>
            <w:vAlign w:val="center"/>
          </w:tcPr>
          <w:p w:rsidR="00347D44" w:rsidRPr="000C2285" w:rsidRDefault="00347D44" w:rsidP="00B74417">
            <w:pPr>
              <w:jc w:val="center"/>
              <w:rPr>
                <w:i/>
                <w:sz w:val="20"/>
                <w:szCs w:val="20"/>
              </w:rPr>
            </w:pPr>
          </w:p>
        </w:tc>
        <w:tc>
          <w:tcPr>
            <w:tcW w:w="446" w:type="dxa"/>
            <w:vMerge/>
            <w:vAlign w:val="center"/>
          </w:tcPr>
          <w:p w:rsidR="00347D44" w:rsidRPr="000C2285" w:rsidRDefault="00347D44" w:rsidP="00B74417">
            <w:pPr>
              <w:jc w:val="center"/>
              <w:rPr>
                <w:i/>
                <w:sz w:val="20"/>
                <w:szCs w:val="20"/>
              </w:rPr>
            </w:pPr>
          </w:p>
        </w:tc>
        <w:tc>
          <w:tcPr>
            <w:tcW w:w="540" w:type="dxa"/>
            <w:vMerge/>
            <w:vAlign w:val="center"/>
          </w:tcPr>
          <w:p w:rsidR="00347D44" w:rsidRPr="000C2285" w:rsidRDefault="00347D44" w:rsidP="00B74417">
            <w:pPr>
              <w:jc w:val="center"/>
              <w:rPr>
                <w:sz w:val="20"/>
                <w:szCs w:val="20"/>
              </w:rPr>
            </w:pPr>
          </w:p>
        </w:tc>
        <w:tc>
          <w:tcPr>
            <w:tcW w:w="630" w:type="dxa"/>
            <w:vMerge/>
            <w:vAlign w:val="center"/>
          </w:tcPr>
          <w:p w:rsidR="00347D44" w:rsidRPr="000C2285" w:rsidRDefault="00347D44" w:rsidP="00B74417">
            <w:pPr>
              <w:jc w:val="center"/>
              <w:rPr>
                <w:i/>
                <w:sz w:val="20"/>
                <w:szCs w:val="20"/>
              </w:rPr>
            </w:pPr>
          </w:p>
        </w:tc>
        <w:tc>
          <w:tcPr>
            <w:tcW w:w="450" w:type="dxa"/>
            <w:vMerge/>
            <w:vAlign w:val="center"/>
          </w:tcPr>
          <w:p w:rsidR="00347D44" w:rsidRPr="000C2285" w:rsidRDefault="00347D44" w:rsidP="00B74417">
            <w:pPr>
              <w:jc w:val="center"/>
              <w:rPr>
                <w:i/>
                <w:sz w:val="20"/>
                <w:szCs w:val="20"/>
              </w:rPr>
            </w:pPr>
          </w:p>
        </w:tc>
        <w:tc>
          <w:tcPr>
            <w:tcW w:w="450" w:type="dxa"/>
            <w:vMerge/>
            <w:vAlign w:val="center"/>
          </w:tcPr>
          <w:p w:rsidR="00347D44" w:rsidRPr="000C2285" w:rsidRDefault="00347D44" w:rsidP="00B74417">
            <w:pPr>
              <w:jc w:val="center"/>
              <w:rPr>
                <w:i/>
                <w:sz w:val="20"/>
                <w:szCs w:val="20"/>
              </w:rPr>
            </w:pPr>
          </w:p>
        </w:tc>
        <w:tc>
          <w:tcPr>
            <w:tcW w:w="630" w:type="dxa"/>
            <w:vMerge/>
            <w:vAlign w:val="center"/>
          </w:tcPr>
          <w:p w:rsidR="00347D44" w:rsidRPr="000C2285" w:rsidRDefault="00347D44" w:rsidP="00B74417">
            <w:pPr>
              <w:jc w:val="center"/>
              <w:rPr>
                <w:sz w:val="20"/>
                <w:szCs w:val="20"/>
              </w:rPr>
            </w:pPr>
          </w:p>
        </w:tc>
        <w:tc>
          <w:tcPr>
            <w:tcW w:w="450" w:type="dxa"/>
            <w:vMerge/>
            <w:vAlign w:val="center"/>
          </w:tcPr>
          <w:p w:rsidR="00347D44" w:rsidRPr="000C2285" w:rsidRDefault="00347D44" w:rsidP="00B74417">
            <w:pPr>
              <w:jc w:val="center"/>
              <w:rPr>
                <w:sz w:val="20"/>
                <w:szCs w:val="20"/>
              </w:rPr>
            </w:pPr>
          </w:p>
        </w:tc>
        <w:tc>
          <w:tcPr>
            <w:tcW w:w="540" w:type="dxa"/>
            <w:vMerge/>
            <w:vAlign w:val="center"/>
          </w:tcPr>
          <w:p w:rsidR="00347D44" w:rsidRPr="000C2285" w:rsidRDefault="00347D44" w:rsidP="00B74417">
            <w:pPr>
              <w:jc w:val="center"/>
              <w:rPr>
                <w:sz w:val="20"/>
                <w:szCs w:val="20"/>
              </w:rPr>
            </w:pPr>
          </w:p>
        </w:tc>
        <w:tc>
          <w:tcPr>
            <w:tcW w:w="1998" w:type="dxa"/>
            <w:vAlign w:val="center"/>
          </w:tcPr>
          <w:p w:rsidR="00347D44" w:rsidRPr="000C2285" w:rsidRDefault="00347D44" w:rsidP="00347D44">
            <w:pPr>
              <w:rPr>
                <w:sz w:val="20"/>
                <w:szCs w:val="20"/>
              </w:rPr>
            </w:pPr>
            <w:r w:rsidRPr="000C2285">
              <w:rPr>
                <w:sz w:val="20"/>
                <w:szCs w:val="20"/>
              </w:rPr>
              <w:t>ELL Status</w:t>
            </w:r>
          </w:p>
        </w:tc>
      </w:tr>
      <w:tr w:rsidR="00347D44" w:rsidRPr="001F790C" w:rsidTr="003411B5">
        <w:trPr>
          <w:trHeight w:val="250"/>
        </w:trPr>
        <w:tc>
          <w:tcPr>
            <w:tcW w:w="1908" w:type="dxa"/>
            <w:vMerge/>
          </w:tcPr>
          <w:p w:rsidR="00347D44" w:rsidRPr="001F790C" w:rsidRDefault="00347D44">
            <w:pPr>
              <w:rPr>
                <w:sz w:val="20"/>
                <w:szCs w:val="20"/>
              </w:rPr>
            </w:pPr>
          </w:p>
        </w:tc>
        <w:tc>
          <w:tcPr>
            <w:tcW w:w="450" w:type="dxa"/>
            <w:vMerge/>
            <w:vAlign w:val="center"/>
          </w:tcPr>
          <w:p w:rsidR="00347D44" w:rsidRPr="000C2285" w:rsidRDefault="00347D44" w:rsidP="00B74417">
            <w:pPr>
              <w:jc w:val="center"/>
              <w:rPr>
                <w:i/>
                <w:sz w:val="20"/>
                <w:szCs w:val="20"/>
              </w:rPr>
            </w:pPr>
          </w:p>
        </w:tc>
        <w:tc>
          <w:tcPr>
            <w:tcW w:w="630" w:type="dxa"/>
            <w:vMerge/>
            <w:vAlign w:val="center"/>
          </w:tcPr>
          <w:p w:rsidR="00347D44" w:rsidRPr="000C2285" w:rsidRDefault="00347D44" w:rsidP="00B74417">
            <w:pPr>
              <w:jc w:val="center"/>
              <w:rPr>
                <w:i/>
                <w:sz w:val="20"/>
                <w:szCs w:val="20"/>
              </w:rPr>
            </w:pPr>
          </w:p>
        </w:tc>
        <w:tc>
          <w:tcPr>
            <w:tcW w:w="454" w:type="dxa"/>
            <w:vMerge/>
            <w:vAlign w:val="center"/>
          </w:tcPr>
          <w:p w:rsidR="00347D44" w:rsidRPr="000C2285" w:rsidRDefault="00347D44" w:rsidP="00B74417">
            <w:pPr>
              <w:jc w:val="center"/>
              <w:rPr>
                <w:i/>
                <w:sz w:val="20"/>
                <w:szCs w:val="20"/>
              </w:rPr>
            </w:pPr>
          </w:p>
        </w:tc>
        <w:tc>
          <w:tcPr>
            <w:tcW w:w="446" w:type="dxa"/>
            <w:vMerge/>
            <w:vAlign w:val="center"/>
          </w:tcPr>
          <w:p w:rsidR="00347D44" w:rsidRPr="000C2285" w:rsidRDefault="00347D44" w:rsidP="00B74417">
            <w:pPr>
              <w:jc w:val="center"/>
              <w:rPr>
                <w:i/>
                <w:sz w:val="20"/>
                <w:szCs w:val="20"/>
              </w:rPr>
            </w:pPr>
          </w:p>
        </w:tc>
        <w:tc>
          <w:tcPr>
            <w:tcW w:w="540" w:type="dxa"/>
            <w:vMerge/>
            <w:vAlign w:val="center"/>
          </w:tcPr>
          <w:p w:rsidR="00347D44" w:rsidRPr="000C2285" w:rsidRDefault="00347D44" w:rsidP="00B74417">
            <w:pPr>
              <w:jc w:val="center"/>
              <w:rPr>
                <w:sz w:val="20"/>
                <w:szCs w:val="20"/>
              </w:rPr>
            </w:pPr>
          </w:p>
        </w:tc>
        <w:tc>
          <w:tcPr>
            <w:tcW w:w="630" w:type="dxa"/>
            <w:vMerge/>
            <w:vAlign w:val="center"/>
          </w:tcPr>
          <w:p w:rsidR="00347D44" w:rsidRPr="000C2285" w:rsidRDefault="00347D44" w:rsidP="00B74417">
            <w:pPr>
              <w:jc w:val="center"/>
              <w:rPr>
                <w:i/>
                <w:sz w:val="20"/>
                <w:szCs w:val="20"/>
              </w:rPr>
            </w:pPr>
          </w:p>
        </w:tc>
        <w:tc>
          <w:tcPr>
            <w:tcW w:w="450" w:type="dxa"/>
            <w:vMerge/>
            <w:vAlign w:val="center"/>
          </w:tcPr>
          <w:p w:rsidR="00347D44" w:rsidRPr="000C2285" w:rsidRDefault="00347D44" w:rsidP="00B74417">
            <w:pPr>
              <w:jc w:val="center"/>
              <w:rPr>
                <w:i/>
                <w:sz w:val="20"/>
                <w:szCs w:val="20"/>
              </w:rPr>
            </w:pPr>
          </w:p>
        </w:tc>
        <w:tc>
          <w:tcPr>
            <w:tcW w:w="450" w:type="dxa"/>
            <w:vMerge/>
            <w:vAlign w:val="center"/>
          </w:tcPr>
          <w:p w:rsidR="00347D44" w:rsidRPr="000C2285" w:rsidRDefault="00347D44" w:rsidP="00B74417">
            <w:pPr>
              <w:jc w:val="center"/>
              <w:rPr>
                <w:i/>
                <w:sz w:val="20"/>
                <w:szCs w:val="20"/>
              </w:rPr>
            </w:pPr>
          </w:p>
        </w:tc>
        <w:tc>
          <w:tcPr>
            <w:tcW w:w="630" w:type="dxa"/>
            <w:vMerge/>
            <w:vAlign w:val="center"/>
          </w:tcPr>
          <w:p w:rsidR="00347D44" w:rsidRPr="000C2285" w:rsidRDefault="00347D44" w:rsidP="00B74417">
            <w:pPr>
              <w:jc w:val="center"/>
              <w:rPr>
                <w:sz w:val="20"/>
                <w:szCs w:val="20"/>
              </w:rPr>
            </w:pPr>
          </w:p>
        </w:tc>
        <w:tc>
          <w:tcPr>
            <w:tcW w:w="450" w:type="dxa"/>
            <w:vMerge/>
            <w:vAlign w:val="center"/>
          </w:tcPr>
          <w:p w:rsidR="00347D44" w:rsidRPr="000C2285" w:rsidRDefault="00347D44" w:rsidP="00B74417">
            <w:pPr>
              <w:jc w:val="center"/>
              <w:rPr>
                <w:sz w:val="20"/>
                <w:szCs w:val="20"/>
              </w:rPr>
            </w:pPr>
          </w:p>
        </w:tc>
        <w:tc>
          <w:tcPr>
            <w:tcW w:w="540" w:type="dxa"/>
            <w:vMerge/>
            <w:vAlign w:val="center"/>
          </w:tcPr>
          <w:p w:rsidR="00347D44" w:rsidRPr="000C2285" w:rsidRDefault="00347D44" w:rsidP="00B74417">
            <w:pPr>
              <w:jc w:val="center"/>
              <w:rPr>
                <w:sz w:val="20"/>
                <w:szCs w:val="20"/>
              </w:rPr>
            </w:pPr>
          </w:p>
        </w:tc>
        <w:tc>
          <w:tcPr>
            <w:tcW w:w="1998" w:type="dxa"/>
            <w:vAlign w:val="center"/>
          </w:tcPr>
          <w:p w:rsidR="00347D44" w:rsidRPr="000C2285" w:rsidRDefault="00347D44" w:rsidP="000C2285">
            <w:pPr>
              <w:rPr>
                <w:sz w:val="20"/>
                <w:szCs w:val="20"/>
              </w:rPr>
            </w:pPr>
            <w:r w:rsidRPr="000C2285">
              <w:rPr>
                <w:sz w:val="20"/>
                <w:szCs w:val="20"/>
              </w:rPr>
              <w:t>Student Mobility</w:t>
            </w:r>
          </w:p>
        </w:tc>
      </w:tr>
    </w:tbl>
    <w:p w:rsidR="00CC4795" w:rsidRDefault="00A91050" w:rsidP="00CC4795">
      <w:pPr>
        <w:pStyle w:val="NoSpacing"/>
        <w:rPr>
          <w:i/>
          <w:sz w:val="20"/>
          <w:szCs w:val="20"/>
        </w:rPr>
      </w:pPr>
      <w:r w:rsidRPr="000C2285">
        <w:rPr>
          <w:i/>
          <w:sz w:val="20"/>
          <w:szCs w:val="20"/>
        </w:rPr>
        <w:t>*These two articles are combined because 2009a is a smaller report that is a subset of the results reported in 2009b</w:t>
      </w:r>
      <w:r w:rsidR="000C2285" w:rsidRPr="000C2285">
        <w:rPr>
          <w:i/>
          <w:sz w:val="20"/>
          <w:szCs w:val="20"/>
        </w:rPr>
        <w:t xml:space="preserve"> </w:t>
      </w:r>
      <w:r w:rsidRPr="000C2285">
        <w:rPr>
          <w:i/>
          <w:sz w:val="20"/>
          <w:szCs w:val="20"/>
        </w:rPr>
        <w:t>**Suspensions</w:t>
      </w:r>
      <w:r w:rsidR="000C2285" w:rsidRPr="000C2285">
        <w:rPr>
          <w:i/>
          <w:sz w:val="20"/>
          <w:szCs w:val="20"/>
        </w:rPr>
        <w:t xml:space="preserve"> only</w:t>
      </w:r>
      <w:r w:rsidR="00B02596">
        <w:rPr>
          <w:i/>
          <w:sz w:val="20"/>
          <w:szCs w:val="20"/>
        </w:rPr>
        <w:t xml:space="preserve"> **</w:t>
      </w:r>
      <w:r w:rsidR="003411B5">
        <w:rPr>
          <w:i/>
          <w:sz w:val="20"/>
          <w:szCs w:val="20"/>
        </w:rPr>
        <w:t>Charter School and Regular Public Schools</w:t>
      </w:r>
      <w:proofErr w:type="gramStart"/>
      <w:r w:rsidR="003411B5">
        <w:rPr>
          <w:i/>
          <w:sz w:val="20"/>
          <w:szCs w:val="20"/>
        </w:rPr>
        <w:t>.*</w:t>
      </w:r>
      <w:proofErr w:type="gramEnd"/>
      <w:r w:rsidR="003411B5">
        <w:rPr>
          <w:i/>
          <w:sz w:val="20"/>
          <w:szCs w:val="20"/>
        </w:rPr>
        <w:t>**Magnet, Vocational, Neighborhood and Disciplinary schools.</w:t>
      </w:r>
    </w:p>
    <w:p w:rsidR="00CC4795" w:rsidRDefault="00CC4795" w:rsidP="000D2580">
      <w:pPr>
        <w:pStyle w:val="Heading2"/>
      </w:pPr>
      <w:r>
        <w:t>Predictive Analyses</w:t>
      </w:r>
    </w:p>
    <w:p w:rsidR="00B0226C" w:rsidRDefault="003411B5">
      <w:r>
        <w:t xml:space="preserve">In </w:t>
      </w:r>
      <w:r w:rsidR="007B233A">
        <w:t xml:space="preserve">three </w:t>
      </w:r>
      <w:r>
        <w:t>of the articles, t</w:t>
      </w:r>
      <w:r w:rsidR="00E21B22">
        <w:t>he descriptive analys</w:t>
      </w:r>
      <w:r w:rsidR="008D54F1">
        <w:t>i</w:t>
      </w:r>
      <w:r w:rsidR="00E21B22">
        <w:t xml:space="preserve">s </w:t>
      </w:r>
      <w:r w:rsidR="003349FF">
        <w:t xml:space="preserve">was followed by a predictive analysis that </w:t>
      </w:r>
      <w:r w:rsidR="00E21B22">
        <w:t>resulted in recommendations for indicators</w:t>
      </w:r>
      <w:r w:rsidR="000C2285">
        <w:t xml:space="preserve">. </w:t>
      </w:r>
      <w:r w:rsidR="00B50290">
        <w:fldChar w:fldCharType="begin"/>
      </w:r>
      <w:r w:rsidR="00200D2F">
        <w:instrText xml:space="preserve"> REF _Ref307828204 \h </w:instrText>
      </w:r>
      <w:r w:rsidR="00B50290">
        <w:fldChar w:fldCharType="separate"/>
      </w:r>
      <w:r w:rsidR="00FC1081">
        <w:t xml:space="preserve">Table </w:t>
      </w:r>
      <w:r w:rsidR="00FC1081">
        <w:rPr>
          <w:noProof/>
        </w:rPr>
        <w:t>2</w:t>
      </w:r>
      <w:r w:rsidR="00B50290">
        <w:fldChar w:fldCharType="end"/>
      </w:r>
      <w:r w:rsidR="00200D2F">
        <w:t xml:space="preserve"> </w:t>
      </w:r>
      <w:r w:rsidR="003349FF">
        <w:t>shows the type of model used in the analysis and the</w:t>
      </w:r>
      <w:r w:rsidR="00E21B22">
        <w:t xml:space="preserve"> final list of </w:t>
      </w:r>
      <w:r w:rsidR="00605BA9">
        <w:t xml:space="preserve">EWS </w:t>
      </w:r>
      <w:r w:rsidR="00693C19">
        <w:t>indicators</w:t>
      </w:r>
      <w:r w:rsidR="00E21B22">
        <w:t xml:space="preserve"> </w:t>
      </w:r>
      <w:r w:rsidR="00200D2F">
        <w:t xml:space="preserve">recommended </w:t>
      </w:r>
      <w:r w:rsidR="00605BA9">
        <w:t xml:space="preserve">for use in </w:t>
      </w:r>
      <w:r w:rsidR="00200D2F">
        <w:t>each article</w:t>
      </w:r>
      <w:r w:rsidR="000C2285">
        <w:t>.</w:t>
      </w:r>
      <w:r w:rsidR="009D15F4">
        <w:t xml:space="preserve"> </w:t>
      </w:r>
      <w:proofErr w:type="spellStart"/>
      <w:r w:rsidR="009D15F4" w:rsidRPr="009D15F4">
        <w:t>Balfanz</w:t>
      </w:r>
      <w:proofErr w:type="spellEnd"/>
      <w:r w:rsidR="009D15F4" w:rsidRPr="009D15F4">
        <w:t xml:space="preserve"> et al. (2010)</w:t>
      </w:r>
      <w:r w:rsidR="009D15F4">
        <w:t xml:space="preserve"> classified their recommended indicators as either primary or secondary. The primary </w:t>
      </w:r>
      <w:r w:rsidR="00010475">
        <w:t>indicators</w:t>
      </w:r>
      <w:r w:rsidR="009D15F4">
        <w:t xml:space="preserve"> represent the characteristics that</w:t>
      </w:r>
      <w:r w:rsidR="002040F7">
        <w:t>,</w:t>
      </w:r>
      <w:r w:rsidR="009D15F4">
        <w:t xml:space="preserve"> at minimum</w:t>
      </w:r>
      <w:r w:rsidR="002040F7">
        <w:t>,</w:t>
      </w:r>
      <w:r w:rsidR="009D15F4">
        <w:t xml:space="preserve"> should be included in the model because they were the most accurate predictors of student dropout. </w:t>
      </w:r>
      <w:r w:rsidR="00E93AA6">
        <w:t>P</w:t>
      </w:r>
      <w:r w:rsidR="009D15F4">
        <w:t xml:space="preserve">rimary predictors were seen </w:t>
      </w:r>
      <w:r w:rsidR="00605BA9">
        <w:t>by</w:t>
      </w:r>
      <w:r w:rsidR="009D15F4">
        <w:t xml:space="preserve"> the authors as essential indicators, whereas secondary indicators were important but not essential. </w:t>
      </w:r>
      <w:r w:rsidR="00867C27">
        <w:t xml:space="preserve">However, no </w:t>
      </w:r>
      <w:r w:rsidR="00E93AA6">
        <w:t xml:space="preserve">details on </w:t>
      </w:r>
      <w:r w:rsidR="00867C27">
        <w:t xml:space="preserve">the </w:t>
      </w:r>
      <w:r w:rsidR="00E93AA6">
        <w:t>criteria in dividing the indicators into primary and secondary categories</w:t>
      </w:r>
      <w:r w:rsidR="00867C27">
        <w:t xml:space="preserve"> was provided by the authors</w:t>
      </w:r>
      <w:proofErr w:type="gramStart"/>
      <w:r w:rsidR="00867C27">
        <w:t>.</w:t>
      </w:r>
      <w:r w:rsidR="00B84FB2">
        <w:t>.</w:t>
      </w:r>
      <w:proofErr w:type="gramEnd"/>
      <w:r w:rsidR="00B84FB2">
        <w:t xml:space="preserve"> </w:t>
      </w:r>
      <w:r w:rsidR="00E93AA6">
        <w:t xml:space="preserve">The general </w:t>
      </w:r>
      <w:r w:rsidR="00E5757C">
        <w:t>explanation</w:t>
      </w:r>
      <w:r w:rsidR="00E93AA6">
        <w:t xml:space="preserve"> provided was that the primary predictors have strong evidence of accurate prediction (i.e. statistical significance) and explain most of the variance in outcome measures of their models</w:t>
      </w:r>
      <w:r w:rsidR="00E5757C">
        <w:t>, whereas</w:t>
      </w:r>
      <w:r w:rsidR="00E93AA6">
        <w:t xml:space="preserve"> the secondary indicators have strong evidence </w:t>
      </w:r>
      <w:proofErr w:type="gramStart"/>
      <w:r w:rsidR="00E93AA6">
        <w:t>of  prediction</w:t>
      </w:r>
      <w:proofErr w:type="gramEnd"/>
      <w:r w:rsidR="00E93AA6">
        <w:t xml:space="preserve"> </w:t>
      </w:r>
      <w:r w:rsidR="00E5757C">
        <w:t xml:space="preserve">but </w:t>
      </w:r>
      <w:r w:rsidR="00E93AA6">
        <w:t xml:space="preserve">do not explain much of the variance in the outcome measure when used in models with the primary indicators. </w:t>
      </w:r>
      <w:r w:rsidR="00DB1BBB">
        <w:t>Several articles (e.g</w:t>
      </w:r>
      <w:r w:rsidR="000C2285">
        <w:t>.</w:t>
      </w:r>
      <w:r w:rsidR="00B0226C">
        <w:t>,</w:t>
      </w:r>
      <w:r w:rsidR="000C2285">
        <w:t xml:space="preserve"> </w:t>
      </w:r>
      <w:proofErr w:type="spellStart"/>
      <w:r w:rsidR="00867C27">
        <w:t>Allensworth</w:t>
      </w:r>
      <w:proofErr w:type="spellEnd"/>
      <w:r w:rsidR="00867C27">
        <w:t xml:space="preserve"> and Easton, </w:t>
      </w:r>
      <w:r w:rsidR="00867C27" w:rsidRPr="00867C27">
        <w:t>2007</w:t>
      </w:r>
      <w:r w:rsidR="00DB1BBB">
        <w:t xml:space="preserve">) used gender and ethnicity as controls in their models but never included these categories as </w:t>
      </w:r>
      <w:r w:rsidR="00200D2F">
        <w:t xml:space="preserve">recommended indicators for </w:t>
      </w:r>
      <w:proofErr w:type="gramStart"/>
      <w:r w:rsidR="00200D2F">
        <w:t>an</w:t>
      </w:r>
      <w:proofErr w:type="gramEnd"/>
      <w:r w:rsidR="00200D2F">
        <w:t xml:space="preserve"> EWS, so although these variables were included in their models, they are not included in </w:t>
      </w:r>
      <w:r w:rsidR="00B50290">
        <w:fldChar w:fldCharType="begin"/>
      </w:r>
      <w:r w:rsidR="00200D2F">
        <w:instrText xml:space="preserve"> REF _Ref307828204 \h </w:instrText>
      </w:r>
      <w:r w:rsidR="00B50290">
        <w:fldChar w:fldCharType="separate"/>
      </w:r>
      <w:r w:rsidR="00FC1081">
        <w:t xml:space="preserve">Table </w:t>
      </w:r>
      <w:r w:rsidR="00FC1081">
        <w:rPr>
          <w:noProof/>
        </w:rPr>
        <w:t>2</w:t>
      </w:r>
      <w:r w:rsidR="00B50290">
        <w:fldChar w:fldCharType="end"/>
      </w:r>
      <w:r w:rsidR="00200D2F">
        <w:t xml:space="preserve">. </w:t>
      </w:r>
    </w:p>
    <w:p w:rsidR="00BB1F96" w:rsidRDefault="00200D2F">
      <w:pPr>
        <w:rPr>
          <w:b/>
          <w:bCs/>
          <w:szCs w:val="18"/>
        </w:rPr>
      </w:pPr>
      <w:proofErr w:type="spellStart"/>
      <w:r>
        <w:t>Allenswor</w:t>
      </w:r>
      <w:r w:rsidRPr="00200D2F">
        <w:t>th</w:t>
      </w:r>
      <w:proofErr w:type="spellEnd"/>
      <w:r w:rsidRPr="00200D2F">
        <w:t xml:space="preserve"> and Easton (2007)</w:t>
      </w:r>
      <w:r>
        <w:t xml:space="preserve"> did not include a final list of recommendations for </w:t>
      </w:r>
      <w:r w:rsidR="00693C19">
        <w:t xml:space="preserve">indicators in </w:t>
      </w:r>
      <w:proofErr w:type="gramStart"/>
      <w:r>
        <w:t>an</w:t>
      </w:r>
      <w:proofErr w:type="gramEnd"/>
      <w:r>
        <w:t xml:space="preserve"> EWS</w:t>
      </w:r>
      <w:r w:rsidR="00C90F73">
        <w:t>;</w:t>
      </w:r>
      <w:r>
        <w:t xml:space="preserve"> </w:t>
      </w:r>
      <w:r w:rsidR="00C90F73">
        <w:t xml:space="preserve">as a result, </w:t>
      </w:r>
      <w:r w:rsidR="00693C19">
        <w:t xml:space="preserve">their research is </w:t>
      </w:r>
      <w:r>
        <w:t xml:space="preserve">not included in the table. </w:t>
      </w:r>
      <w:r w:rsidR="00460383">
        <w:t>S</w:t>
      </w:r>
      <w:r>
        <w:t xml:space="preserve">ome measure of attendance </w:t>
      </w:r>
      <w:r w:rsidR="00460383">
        <w:t>was recommended</w:t>
      </w:r>
      <w:r>
        <w:t xml:space="preserve"> as a primary indicator</w:t>
      </w:r>
      <w:r w:rsidR="00460383">
        <w:t xml:space="preserve"> in all articles</w:t>
      </w:r>
      <w:r w:rsidR="000C2285">
        <w:t xml:space="preserve">. </w:t>
      </w:r>
      <w:r>
        <w:t xml:space="preserve">All articles also </w:t>
      </w:r>
      <w:r w:rsidR="00693C19">
        <w:t xml:space="preserve">reported </w:t>
      </w:r>
      <w:r w:rsidR="00C12B1C">
        <w:t>that an</w:t>
      </w:r>
      <w:r>
        <w:t xml:space="preserve"> academic indicator</w:t>
      </w:r>
      <w:r w:rsidR="00693C19">
        <w:t xml:space="preserve"> should be </w:t>
      </w:r>
      <w:r w:rsidR="00C12B1C">
        <w:t>included;</w:t>
      </w:r>
      <w:r>
        <w:t xml:space="preserve"> however, how that indicator was defined depended on the article.</w:t>
      </w:r>
      <w:r w:rsidR="00693C19">
        <w:t xml:space="preserve"> For example, some articles included math grades while others included course failures as an </w:t>
      </w:r>
      <w:r w:rsidR="00C22508">
        <w:t>academic</w:t>
      </w:r>
      <w:r w:rsidR="00693C19">
        <w:t xml:space="preserve"> indicator. </w:t>
      </w:r>
      <w:bookmarkStart w:id="2" w:name="_Ref307828204"/>
      <w:r w:rsidR="00BB1F96">
        <w:rPr>
          <w:b/>
        </w:rPr>
        <w:br w:type="page"/>
      </w:r>
    </w:p>
    <w:p w:rsidR="006A34D1" w:rsidRPr="00E6187D" w:rsidRDefault="00C27685" w:rsidP="006A34D1">
      <w:pPr>
        <w:pStyle w:val="Caption"/>
        <w:rPr>
          <w:b/>
        </w:rPr>
      </w:pPr>
      <w:r w:rsidRPr="00C27685">
        <w:rPr>
          <w:b/>
        </w:rPr>
        <w:lastRenderedPageBreak/>
        <w:t xml:space="preserve">Table </w:t>
      </w:r>
      <w:r w:rsidR="00B50290" w:rsidRPr="00C27685">
        <w:rPr>
          <w:b/>
        </w:rPr>
        <w:fldChar w:fldCharType="begin"/>
      </w:r>
      <w:r w:rsidRPr="00C27685">
        <w:rPr>
          <w:b/>
        </w:rPr>
        <w:instrText xml:space="preserve"> SEQ Table \* ARABIC </w:instrText>
      </w:r>
      <w:r w:rsidR="00B50290" w:rsidRPr="00C27685">
        <w:rPr>
          <w:b/>
        </w:rPr>
        <w:fldChar w:fldCharType="separate"/>
      </w:r>
      <w:r w:rsidRPr="00C27685">
        <w:rPr>
          <w:b/>
          <w:noProof/>
        </w:rPr>
        <w:t>2</w:t>
      </w:r>
      <w:r w:rsidR="00B50290" w:rsidRPr="00C27685">
        <w:rPr>
          <w:b/>
        </w:rPr>
        <w:fldChar w:fldCharType="end"/>
      </w:r>
      <w:bookmarkEnd w:id="2"/>
      <w:r w:rsidRPr="00C27685">
        <w:rPr>
          <w:b/>
        </w:rPr>
        <w:t xml:space="preserve">: Recommended Indicators by </w:t>
      </w:r>
      <w:r w:rsidR="00E6187D">
        <w:rPr>
          <w:b/>
        </w:rPr>
        <w:t>A</w:t>
      </w:r>
      <w:r w:rsidRPr="00C27685">
        <w:rPr>
          <w:b/>
        </w:rPr>
        <w:t>rticle</w:t>
      </w:r>
    </w:p>
    <w:tbl>
      <w:tblPr>
        <w:tblStyle w:val="TableGrid"/>
        <w:tblW w:w="4991" w:type="pct"/>
        <w:tblLook w:val="04A0"/>
      </w:tblPr>
      <w:tblGrid>
        <w:gridCol w:w="2351"/>
        <w:gridCol w:w="2075"/>
        <w:gridCol w:w="627"/>
        <w:gridCol w:w="629"/>
        <w:gridCol w:w="627"/>
        <w:gridCol w:w="719"/>
        <w:gridCol w:w="539"/>
        <w:gridCol w:w="537"/>
        <w:gridCol w:w="539"/>
        <w:gridCol w:w="916"/>
      </w:tblGrid>
      <w:tr w:rsidR="00CD26D3" w:rsidRPr="001F790C" w:rsidTr="00867C27">
        <w:trPr>
          <w:cantSplit/>
          <w:trHeight w:val="1781"/>
        </w:trPr>
        <w:tc>
          <w:tcPr>
            <w:tcW w:w="1229" w:type="pct"/>
            <w:textDirection w:val="btLr"/>
          </w:tcPr>
          <w:p w:rsidR="00200D2F" w:rsidRPr="001F790C" w:rsidRDefault="00200D2F" w:rsidP="000C2285">
            <w:pPr>
              <w:ind w:left="113" w:right="113"/>
              <w:rPr>
                <w:sz w:val="20"/>
                <w:szCs w:val="20"/>
              </w:rPr>
            </w:pPr>
            <w:r w:rsidRPr="001F790C">
              <w:rPr>
                <w:sz w:val="20"/>
                <w:szCs w:val="20"/>
              </w:rPr>
              <w:t>Article</w:t>
            </w:r>
          </w:p>
        </w:tc>
        <w:tc>
          <w:tcPr>
            <w:tcW w:w="1085" w:type="pct"/>
            <w:textDirection w:val="btLr"/>
          </w:tcPr>
          <w:p w:rsidR="00200D2F" w:rsidRPr="001F790C" w:rsidRDefault="00200D2F" w:rsidP="000C2285">
            <w:pPr>
              <w:ind w:left="113" w:right="113"/>
              <w:rPr>
                <w:sz w:val="20"/>
                <w:szCs w:val="20"/>
              </w:rPr>
            </w:pPr>
            <w:r w:rsidRPr="001F790C">
              <w:rPr>
                <w:sz w:val="20"/>
                <w:szCs w:val="20"/>
              </w:rPr>
              <w:t>Model used</w:t>
            </w:r>
          </w:p>
        </w:tc>
        <w:tc>
          <w:tcPr>
            <w:tcW w:w="328" w:type="pct"/>
            <w:textDirection w:val="btLr"/>
          </w:tcPr>
          <w:p w:rsidR="00200D2F" w:rsidRPr="001F790C" w:rsidRDefault="00200D2F" w:rsidP="000C2285">
            <w:pPr>
              <w:ind w:left="113" w:right="113"/>
              <w:rPr>
                <w:sz w:val="20"/>
                <w:szCs w:val="20"/>
              </w:rPr>
            </w:pPr>
            <w:r w:rsidRPr="001F790C">
              <w:rPr>
                <w:sz w:val="20"/>
                <w:szCs w:val="20"/>
              </w:rPr>
              <w:t>E</w:t>
            </w:r>
            <w:r w:rsidR="0064751A">
              <w:rPr>
                <w:sz w:val="20"/>
                <w:szCs w:val="20"/>
              </w:rPr>
              <w:t>nglish/Language Arts</w:t>
            </w:r>
            <w:r w:rsidRPr="001F790C">
              <w:rPr>
                <w:sz w:val="20"/>
                <w:szCs w:val="20"/>
              </w:rPr>
              <w:t xml:space="preserve"> Grades</w:t>
            </w:r>
          </w:p>
        </w:tc>
        <w:tc>
          <w:tcPr>
            <w:tcW w:w="329" w:type="pct"/>
            <w:textDirection w:val="btLr"/>
          </w:tcPr>
          <w:p w:rsidR="00200D2F" w:rsidRPr="001F790C" w:rsidRDefault="00200D2F" w:rsidP="000C2285">
            <w:pPr>
              <w:ind w:left="113" w:right="113"/>
              <w:rPr>
                <w:sz w:val="20"/>
                <w:szCs w:val="20"/>
              </w:rPr>
            </w:pPr>
            <w:r w:rsidRPr="001F790C">
              <w:rPr>
                <w:sz w:val="20"/>
                <w:szCs w:val="20"/>
              </w:rPr>
              <w:t>Math Grades</w:t>
            </w:r>
          </w:p>
        </w:tc>
        <w:tc>
          <w:tcPr>
            <w:tcW w:w="328" w:type="pct"/>
            <w:textDirection w:val="btLr"/>
          </w:tcPr>
          <w:p w:rsidR="00200D2F" w:rsidRPr="001F790C" w:rsidRDefault="00200D2F" w:rsidP="000C2285">
            <w:pPr>
              <w:ind w:left="113" w:right="113"/>
              <w:rPr>
                <w:sz w:val="20"/>
                <w:szCs w:val="20"/>
              </w:rPr>
            </w:pPr>
            <w:r w:rsidRPr="001F790C">
              <w:rPr>
                <w:sz w:val="20"/>
                <w:szCs w:val="20"/>
              </w:rPr>
              <w:t>Course Failures</w:t>
            </w:r>
          </w:p>
        </w:tc>
        <w:tc>
          <w:tcPr>
            <w:tcW w:w="376" w:type="pct"/>
            <w:textDirection w:val="btLr"/>
          </w:tcPr>
          <w:p w:rsidR="00200D2F" w:rsidRPr="001F790C" w:rsidRDefault="00200D2F" w:rsidP="000C2285">
            <w:pPr>
              <w:ind w:left="113" w:right="113"/>
              <w:rPr>
                <w:sz w:val="20"/>
                <w:szCs w:val="20"/>
              </w:rPr>
            </w:pPr>
            <w:r w:rsidRPr="001F790C">
              <w:rPr>
                <w:sz w:val="20"/>
                <w:szCs w:val="20"/>
              </w:rPr>
              <w:t>Repeated Grade/</w:t>
            </w:r>
          </w:p>
          <w:p w:rsidR="00200D2F" w:rsidRPr="001F790C" w:rsidRDefault="00200D2F" w:rsidP="000C2285">
            <w:pPr>
              <w:ind w:left="113" w:right="113"/>
              <w:rPr>
                <w:sz w:val="20"/>
                <w:szCs w:val="20"/>
              </w:rPr>
            </w:pPr>
            <w:r w:rsidRPr="001F790C">
              <w:rPr>
                <w:sz w:val="20"/>
                <w:szCs w:val="20"/>
              </w:rPr>
              <w:t>Overage</w:t>
            </w:r>
          </w:p>
        </w:tc>
        <w:tc>
          <w:tcPr>
            <w:tcW w:w="282" w:type="pct"/>
            <w:textDirection w:val="btLr"/>
          </w:tcPr>
          <w:p w:rsidR="00200D2F" w:rsidRPr="001F790C" w:rsidRDefault="00200D2F" w:rsidP="000C2285">
            <w:pPr>
              <w:ind w:left="113" w:right="113"/>
              <w:rPr>
                <w:sz w:val="20"/>
                <w:szCs w:val="20"/>
              </w:rPr>
            </w:pPr>
            <w:r w:rsidRPr="001F790C">
              <w:rPr>
                <w:sz w:val="20"/>
                <w:szCs w:val="20"/>
              </w:rPr>
              <w:t>Attendance</w:t>
            </w:r>
          </w:p>
        </w:tc>
        <w:tc>
          <w:tcPr>
            <w:tcW w:w="281" w:type="pct"/>
            <w:textDirection w:val="btLr"/>
          </w:tcPr>
          <w:p w:rsidR="00200D2F" w:rsidRPr="001F790C" w:rsidRDefault="00200D2F" w:rsidP="000C2285">
            <w:pPr>
              <w:ind w:left="113" w:right="113"/>
              <w:rPr>
                <w:sz w:val="20"/>
                <w:szCs w:val="20"/>
              </w:rPr>
            </w:pPr>
            <w:r w:rsidRPr="001F790C">
              <w:rPr>
                <w:sz w:val="20"/>
                <w:szCs w:val="20"/>
              </w:rPr>
              <w:t>Number of Suspensions</w:t>
            </w:r>
          </w:p>
        </w:tc>
        <w:tc>
          <w:tcPr>
            <w:tcW w:w="282" w:type="pct"/>
            <w:textDirection w:val="btLr"/>
          </w:tcPr>
          <w:p w:rsidR="00200D2F" w:rsidRPr="001F790C" w:rsidRDefault="00200D2F" w:rsidP="000C2285">
            <w:pPr>
              <w:ind w:left="113" w:right="113"/>
              <w:rPr>
                <w:sz w:val="20"/>
                <w:szCs w:val="20"/>
              </w:rPr>
            </w:pPr>
            <w:r w:rsidRPr="001F790C">
              <w:rPr>
                <w:sz w:val="20"/>
                <w:szCs w:val="20"/>
              </w:rPr>
              <w:t>ELL Status</w:t>
            </w:r>
          </w:p>
        </w:tc>
        <w:tc>
          <w:tcPr>
            <w:tcW w:w="479" w:type="pct"/>
            <w:textDirection w:val="btLr"/>
          </w:tcPr>
          <w:p w:rsidR="00200D2F" w:rsidRPr="001F790C" w:rsidRDefault="00200D2F" w:rsidP="000C2285">
            <w:pPr>
              <w:ind w:left="113" w:right="113"/>
              <w:rPr>
                <w:sz w:val="20"/>
                <w:szCs w:val="20"/>
              </w:rPr>
            </w:pPr>
            <w:r w:rsidRPr="001F790C">
              <w:rPr>
                <w:sz w:val="20"/>
                <w:szCs w:val="20"/>
              </w:rPr>
              <w:t>Other</w:t>
            </w:r>
            <w:r w:rsidR="00B43E57">
              <w:rPr>
                <w:sz w:val="20"/>
                <w:szCs w:val="20"/>
              </w:rPr>
              <w:t xml:space="preserve"> Secondary Indicators</w:t>
            </w:r>
          </w:p>
        </w:tc>
      </w:tr>
      <w:tr w:rsidR="00CD26D3" w:rsidRPr="001F790C" w:rsidTr="00867C27">
        <w:tc>
          <w:tcPr>
            <w:tcW w:w="1229" w:type="pct"/>
          </w:tcPr>
          <w:p w:rsidR="00200D2F" w:rsidRPr="001F790C" w:rsidRDefault="00200D2F" w:rsidP="00FC1081">
            <w:pPr>
              <w:rPr>
                <w:sz w:val="20"/>
                <w:szCs w:val="20"/>
              </w:rPr>
            </w:pPr>
            <w:proofErr w:type="spellStart"/>
            <w:r w:rsidRPr="001F790C">
              <w:rPr>
                <w:sz w:val="20"/>
                <w:szCs w:val="20"/>
              </w:rPr>
              <w:t>Nelid</w:t>
            </w:r>
            <w:proofErr w:type="spellEnd"/>
            <w:r w:rsidRPr="001F790C">
              <w:rPr>
                <w:sz w:val="20"/>
                <w:szCs w:val="20"/>
              </w:rPr>
              <w:t xml:space="preserve"> and </w:t>
            </w:r>
            <w:proofErr w:type="spellStart"/>
            <w:r w:rsidRPr="001F790C">
              <w:rPr>
                <w:sz w:val="20"/>
                <w:szCs w:val="20"/>
              </w:rPr>
              <w:t>Balfanz</w:t>
            </w:r>
            <w:proofErr w:type="spellEnd"/>
            <w:r w:rsidRPr="001F790C">
              <w:rPr>
                <w:sz w:val="20"/>
                <w:szCs w:val="20"/>
              </w:rPr>
              <w:t xml:space="preserve"> (2006)</w:t>
            </w:r>
          </w:p>
        </w:tc>
        <w:tc>
          <w:tcPr>
            <w:tcW w:w="1085" w:type="pct"/>
            <w:vAlign w:val="center"/>
          </w:tcPr>
          <w:p w:rsidR="00200D2F" w:rsidRPr="00347D44" w:rsidRDefault="00200D2F" w:rsidP="001F790C">
            <w:pPr>
              <w:rPr>
                <w:sz w:val="20"/>
                <w:szCs w:val="20"/>
              </w:rPr>
            </w:pPr>
            <w:r w:rsidRPr="00347D44">
              <w:rPr>
                <w:sz w:val="20"/>
                <w:szCs w:val="20"/>
              </w:rPr>
              <w:t>Predictive*</w:t>
            </w:r>
          </w:p>
        </w:tc>
        <w:tc>
          <w:tcPr>
            <w:tcW w:w="328" w:type="pct"/>
            <w:vAlign w:val="center"/>
          </w:tcPr>
          <w:p w:rsidR="00200D2F" w:rsidRPr="00347D44" w:rsidRDefault="00200D2F" w:rsidP="001F790C">
            <w:pPr>
              <w:jc w:val="center"/>
              <w:rPr>
                <w:sz w:val="20"/>
                <w:szCs w:val="20"/>
              </w:rPr>
            </w:pPr>
            <w:r w:rsidRPr="00347D44">
              <w:rPr>
                <w:sz w:val="20"/>
                <w:szCs w:val="20"/>
              </w:rPr>
              <w:t>P</w:t>
            </w:r>
          </w:p>
        </w:tc>
        <w:tc>
          <w:tcPr>
            <w:tcW w:w="329" w:type="pct"/>
            <w:vAlign w:val="center"/>
          </w:tcPr>
          <w:p w:rsidR="00200D2F" w:rsidRPr="00347D44" w:rsidRDefault="00200D2F" w:rsidP="001F790C">
            <w:pPr>
              <w:jc w:val="center"/>
              <w:rPr>
                <w:sz w:val="20"/>
                <w:szCs w:val="20"/>
              </w:rPr>
            </w:pPr>
            <w:r w:rsidRPr="00347D44">
              <w:rPr>
                <w:sz w:val="20"/>
                <w:szCs w:val="20"/>
              </w:rPr>
              <w:t>P</w:t>
            </w:r>
          </w:p>
        </w:tc>
        <w:tc>
          <w:tcPr>
            <w:tcW w:w="328" w:type="pct"/>
            <w:vAlign w:val="center"/>
          </w:tcPr>
          <w:p w:rsidR="00200D2F" w:rsidRPr="00347D44" w:rsidRDefault="00200D2F" w:rsidP="00FC1081">
            <w:pPr>
              <w:jc w:val="center"/>
              <w:rPr>
                <w:sz w:val="20"/>
                <w:szCs w:val="20"/>
              </w:rPr>
            </w:pPr>
            <w:r w:rsidRPr="00347D44">
              <w:rPr>
                <w:sz w:val="20"/>
                <w:szCs w:val="20"/>
              </w:rPr>
              <w:t>S</w:t>
            </w:r>
          </w:p>
        </w:tc>
        <w:tc>
          <w:tcPr>
            <w:tcW w:w="376" w:type="pct"/>
            <w:vAlign w:val="center"/>
          </w:tcPr>
          <w:p w:rsidR="00200D2F" w:rsidRPr="00347D44" w:rsidRDefault="00200D2F" w:rsidP="001F790C">
            <w:pPr>
              <w:jc w:val="center"/>
              <w:rPr>
                <w:sz w:val="20"/>
                <w:szCs w:val="20"/>
              </w:rPr>
            </w:pPr>
          </w:p>
        </w:tc>
        <w:tc>
          <w:tcPr>
            <w:tcW w:w="282" w:type="pct"/>
            <w:vAlign w:val="center"/>
          </w:tcPr>
          <w:p w:rsidR="00200D2F" w:rsidRPr="00347D44" w:rsidRDefault="00200D2F" w:rsidP="001F790C">
            <w:pPr>
              <w:jc w:val="center"/>
              <w:rPr>
                <w:sz w:val="20"/>
                <w:szCs w:val="20"/>
              </w:rPr>
            </w:pPr>
            <w:r w:rsidRPr="00347D44">
              <w:rPr>
                <w:sz w:val="20"/>
                <w:szCs w:val="20"/>
              </w:rPr>
              <w:t>P</w:t>
            </w:r>
          </w:p>
        </w:tc>
        <w:tc>
          <w:tcPr>
            <w:tcW w:w="281" w:type="pct"/>
            <w:vAlign w:val="center"/>
          </w:tcPr>
          <w:p w:rsidR="00200D2F" w:rsidRPr="00347D44" w:rsidRDefault="00200D2F" w:rsidP="001F790C">
            <w:pPr>
              <w:jc w:val="center"/>
              <w:rPr>
                <w:sz w:val="20"/>
                <w:szCs w:val="20"/>
              </w:rPr>
            </w:pPr>
          </w:p>
        </w:tc>
        <w:tc>
          <w:tcPr>
            <w:tcW w:w="282" w:type="pct"/>
            <w:vAlign w:val="center"/>
          </w:tcPr>
          <w:p w:rsidR="00200D2F" w:rsidRPr="00347D44" w:rsidRDefault="00200D2F" w:rsidP="001F790C">
            <w:pPr>
              <w:jc w:val="center"/>
              <w:rPr>
                <w:sz w:val="20"/>
                <w:szCs w:val="20"/>
              </w:rPr>
            </w:pPr>
          </w:p>
        </w:tc>
        <w:tc>
          <w:tcPr>
            <w:tcW w:w="479" w:type="pct"/>
            <w:vAlign w:val="center"/>
          </w:tcPr>
          <w:p w:rsidR="00200D2F" w:rsidRPr="00347D44" w:rsidRDefault="00200D2F" w:rsidP="001F790C">
            <w:pPr>
              <w:jc w:val="center"/>
              <w:rPr>
                <w:sz w:val="20"/>
                <w:szCs w:val="20"/>
              </w:rPr>
            </w:pPr>
          </w:p>
        </w:tc>
      </w:tr>
      <w:tr w:rsidR="00CD26D3" w:rsidRPr="001F790C" w:rsidTr="00867C27">
        <w:tc>
          <w:tcPr>
            <w:tcW w:w="1229" w:type="pct"/>
          </w:tcPr>
          <w:p w:rsidR="00200D2F" w:rsidRPr="001F790C" w:rsidRDefault="00200D2F" w:rsidP="00FC1081">
            <w:pPr>
              <w:rPr>
                <w:sz w:val="20"/>
                <w:szCs w:val="20"/>
              </w:rPr>
            </w:pPr>
            <w:r w:rsidRPr="001F790C">
              <w:rPr>
                <w:sz w:val="20"/>
                <w:szCs w:val="20"/>
              </w:rPr>
              <w:t xml:space="preserve">MacIver et </w:t>
            </w:r>
            <w:r w:rsidR="00E86DAC">
              <w:rPr>
                <w:sz w:val="20"/>
                <w:szCs w:val="20"/>
              </w:rPr>
              <w:t>a</w:t>
            </w:r>
            <w:r w:rsidRPr="001F790C">
              <w:rPr>
                <w:sz w:val="20"/>
                <w:szCs w:val="20"/>
              </w:rPr>
              <w:t>l</w:t>
            </w:r>
            <w:r w:rsidR="00E86DAC">
              <w:rPr>
                <w:sz w:val="20"/>
                <w:szCs w:val="20"/>
              </w:rPr>
              <w:t>.</w:t>
            </w:r>
            <w:r w:rsidRPr="001F790C">
              <w:rPr>
                <w:sz w:val="20"/>
                <w:szCs w:val="20"/>
              </w:rPr>
              <w:t xml:space="preserve"> (2009a and 2009b)**</w:t>
            </w:r>
          </w:p>
        </w:tc>
        <w:tc>
          <w:tcPr>
            <w:tcW w:w="1085" w:type="pct"/>
            <w:vAlign w:val="center"/>
          </w:tcPr>
          <w:p w:rsidR="00200D2F" w:rsidRPr="00347D44" w:rsidRDefault="00200D2F" w:rsidP="001F790C">
            <w:pPr>
              <w:rPr>
                <w:sz w:val="20"/>
                <w:szCs w:val="20"/>
              </w:rPr>
            </w:pPr>
            <w:r w:rsidRPr="00347D44">
              <w:rPr>
                <w:sz w:val="20"/>
                <w:szCs w:val="20"/>
              </w:rPr>
              <w:t>Logistic Regression</w:t>
            </w:r>
          </w:p>
        </w:tc>
        <w:tc>
          <w:tcPr>
            <w:tcW w:w="328" w:type="pct"/>
            <w:vAlign w:val="center"/>
          </w:tcPr>
          <w:p w:rsidR="00200D2F" w:rsidRPr="00347D44" w:rsidRDefault="00200D2F" w:rsidP="001F790C">
            <w:pPr>
              <w:jc w:val="center"/>
              <w:rPr>
                <w:sz w:val="20"/>
                <w:szCs w:val="20"/>
              </w:rPr>
            </w:pPr>
          </w:p>
        </w:tc>
        <w:tc>
          <w:tcPr>
            <w:tcW w:w="329" w:type="pct"/>
            <w:vAlign w:val="center"/>
          </w:tcPr>
          <w:p w:rsidR="00200D2F" w:rsidRPr="00347D44" w:rsidRDefault="00200D2F" w:rsidP="001F790C">
            <w:pPr>
              <w:jc w:val="center"/>
              <w:rPr>
                <w:sz w:val="20"/>
                <w:szCs w:val="20"/>
              </w:rPr>
            </w:pPr>
          </w:p>
        </w:tc>
        <w:tc>
          <w:tcPr>
            <w:tcW w:w="328" w:type="pct"/>
            <w:vAlign w:val="center"/>
          </w:tcPr>
          <w:p w:rsidR="00200D2F" w:rsidRPr="00347D44" w:rsidRDefault="00200D2F" w:rsidP="00FC1081">
            <w:pPr>
              <w:jc w:val="center"/>
              <w:rPr>
                <w:sz w:val="20"/>
                <w:szCs w:val="20"/>
              </w:rPr>
            </w:pPr>
            <w:r w:rsidRPr="00347D44">
              <w:rPr>
                <w:sz w:val="20"/>
                <w:szCs w:val="20"/>
              </w:rPr>
              <w:t>P</w:t>
            </w:r>
          </w:p>
        </w:tc>
        <w:tc>
          <w:tcPr>
            <w:tcW w:w="376" w:type="pct"/>
            <w:vAlign w:val="center"/>
          </w:tcPr>
          <w:p w:rsidR="00200D2F" w:rsidRPr="00347D44" w:rsidRDefault="00200D2F" w:rsidP="001F790C">
            <w:pPr>
              <w:jc w:val="center"/>
              <w:rPr>
                <w:sz w:val="20"/>
                <w:szCs w:val="20"/>
              </w:rPr>
            </w:pPr>
          </w:p>
        </w:tc>
        <w:tc>
          <w:tcPr>
            <w:tcW w:w="282" w:type="pct"/>
            <w:vAlign w:val="center"/>
          </w:tcPr>
          <w:p w:rsidR="00200D2F" w:rsidRPr="00347D44" w:rsidRDefault="00200D2F" w:rsidP="001F790C">
            <w:pPr>
              <w:jc w:val="center"/>
              <w:rPr>
                <w:sz w:val="20"/>
                <w:szCs w:val="20"/>
              </w:rPr>
            </w:pPr>
            <w:r w:rsidRPr="00347D44">
              <w:rPr>
                <w:sz w:val="20"/>
                <w:szCs w:val="20"/>
              </w:rPr>
              <w:t>P</w:t>
            </w:r>
          </w:p>
        </w:tc>
        <w:tc>
          <w:tcPr>
            <w:tcW w:w="281" w:type="pct"/>
            <w:vAlign w:val="center"/>
          </w:tcPr>
          <w:p w:rsidR="00200D2F" w:rsidRPr="00347D44" w:rsidRDefault="00200D2F" w:rsidP="001F790C">
            <w:pPr>
              <w:jc w:val="center"/>
              <w:rPr>
                <w:sz w:val="20"/>
                <w:szCs w:val="20"/>
              </w:rPr>
            </w:pPr>
          </w:p>
        </w:tc>
        <w:tc>
          <w:tcPr>
            <w:tcW w:w="282" w:type="pct"/>
            <w:vAlign w:val="center"/>
          </w:tcPr>
          <w:p w:rsidR="00200D2F" w:rsidRPr="00347D44" w:rsidRDefault="00200D2F" w:rsidP="001F790C">
            <w:pPr>
              <w:jc w:val="center"/>
              <w:rPr>
                <w:sz w:val="20"/>
                <w:szCs w:val="20"/>
              </w:rPr>
            </w:pPr>
          </w:p>
        </w:tc>
        <w:tc>
          <w:tcPr>
            <w:tcW w:w="479" w:type="pct"/>
            <w:vAlign w:val="center"/>
          </w:tcPr>
          <w:p w:rsidR="00200D2F" w:rsidRPr="00347D44" w:rsidRDefault="00200D2F" w:rsidP="001F790C">
            <w:pPr>
              <w:jc w:val="center"/>
              <w:rPr>
                <w:sz w:val="20"/>
                <w:szCs w:val="20"/>
              </w:rPr>
            </w:pPr>
          </w:p>
        </w:tc>
      </w:tr>
      <w:tr w:rsidR="00CD26D3" w:rsidRPr="001F790C" w:rsidTr="00867C27">
        <w:tc>
          <w:tcPr>
            <w:tcW w:w="1229" w:type="pct"/>
          </w:tcPr>
          <w:p w:rsidR="00200D2F" w:rsidRPr="001F790C" w:rsidRDefault="00200D2F" w:rsidP="00FC1081">
            <w:pPr>
              <w:rPr>
                <w:sz w:val="20"/>
                <w:szCs w:val="20"/>
              </w:rPr>
            </w:pPr>
            <w:proofErr w:type="spellStart"/>
            <w:r w:rsidRPr="001F790C">
              <w:rPr>
                <w:sz w:val="20"/>
                <w:szCs w:val="20"/>
              </w:rPr>
              <w:t>Balfanz</w:t>
            </w:r>
            <w:proofErr w:type="spellEnd"/>
            <w:r w:rsidRPr="001F790C">
              <w:rPr>
                <w:sz w:val="20"/>
                <w:szCs w:val="20"/>
              </w:rPr>
              <w:t xml:space="preserve"> et al. (2010)</w:t>
            </w:r>
          </w:p>
        </w:tc>
        <w:tc>
          <w:tcPr>
            <w:tcW w:w="1085" w:type="pct"/>
            <w:vAlign w:val="center"/>
          </w:tcPr>
          <w:p w:rsidR="00200D2F" w:rsidRPr="00347D44" w:rsidRDefault="00200D2F" w:rsidP="001F790C">
            <w:pPr>
              <w:rPr>
                <w:sz w:val="20"/>
                <w:szCs w:val="20"/>
              </w:rPr>
            </w:pPr>
            <w:r w:rsidRPr="00347D44">
              <w:rPr>
                <w:sz w:val="20"/>
                <w:szCs w:val="20"/>
              </w:rPr>
              <w:t>Logistic Regression</w:t>
            </w:r>
          </w:p>
        </w:tc>
        <w:tc>
          <w:tcPr>
            <w:tcW w:w="328" w:type="pct"/>
            <w:vAlign w:val="center"/>
          </w:tcPr>
          <w:p w:rsidR="00200D2F" w:rsidRPr="00347D44" w:rsidRDefault="00200D2F" w:rsidP="001F790C">
            <w:pPr>
              <w:jc w:val="center"/>
              <w:rPr>
                <w:sz w:val="20"/>
                <w:szCs w:val="20"/>
              </w:rPr>
            </w:pPr>
          </w:p>
        </w:tc>
        <w:tc>
          <w:tcPr>
            <w:tcW w:w="329" w:type="pct"/>
            <w:vAlign w:val="center"/>
          </w:tcPr>
          <w:p w:rsidR="00200D2F" w:rsidRPr="00347D44" w:rsidRDefault="00200D2F" w:rsidP="001F790C">
            <w:pPr>
              <w:jc w:val="center"/>
              <w:rPr>
                <w:sz w:val="20"/>
                <w:szCs w:val="20"/>
              </w:rPr>
            </w:pPr>
          </w:p>
        </w:tc>
        <w:tc>
          <w:tcPr>
            <w:tcW w:w="328" w:type="pct"/>
            <w:vAlign w:val="center"/>
          </w:tcPr>
          <w:p w:rsidR="00200D2F" w:rsidRPr="00347D44" w:rsidRDefault="00200D2F" w:rsidP="00FC1081">
            <w:pPr>
              <w:jc w:val="center"/>
              <w:rPr>
                <w:sz w:val="20"/>
                <w:szCs w:val="20"/>
              </w:rPr>
            </w:pPr>
            <w:r w:rsidRPr="00347D44">
              <w:rPr>
                <w:sz w:val="20"/>
                <w:szCs w:val="20"/>
              </w:rPr>
              <w:t>P</w:t>
            </w:r>
          </w:p>
        </w:tc>
        <w:tc>
          <w:tcPr>
            <w:tcW w:w="376" w:type="pct"/>
            <w:vAlign w:val="center"/>
          </w:tcPr>
          <w:p w:rsidR="00200D2F" w:rsidRPr="00347D44" w:rsidRDefault="00200D2F" w:rsidP="001F790C">
            <w:pPr>
              <w:jc w:val="center"/>
              <w:rPr>
                <w:sz w:val="20"/>
                <w:szCs w:val="20"/>
              </w:rPr>
            </w:pPr>
            <w:r w:rsidRPr="00347D44">
              <w:rPr>
                <w:sz w:val="20"/>
                <w:szCs w:val="20"/>
              </w:rPr>
              <w:t>S</w:t>
            </w:r>
          </w:p>
        </w:tc>
        <w:tc>
          <w:tcPr>
            <w:tcW w:w="282" w:type="pct"/>
            <w:vAlign w:val="center"/>
          </w:tcPr>
          <w:p w:rsidR="00200D2F" w:rsidRPr="00347D44" w:rsidRDefault="00200D2F" w:rsidP="001F790C">
            <w:pPr>
              <w:jc w:val="center"/>
              <w:rPr>
                <w:sz w:val="20"/>
                <w:szCs w:val="20"/>
              </w:rPr>
            </w:pPr>
            <w:r w:rsidRPr="00347D44">
              <w:rPr>
                <w:sz w:val="20"/>
                <w:szCs w:val="20"/>
              </w:rPr>
              <w:t>P</w:t>
            </w:r>
          </w:p>
        </w:tc>
        <w:tc>
          <w:tcPr>
            <w:tcW w:w="281" w:type="pct"/>
            <w:vAlign w:val="center"/>
          </w:tcPr>
          <w:p w:rsidR="00200D2F" w:rsidRPr="00347D44" w:rsidRDefault="00200D2F" w:rsidP="001F790C">
            <w:pPr>
              <w:jc w:val="center"/>
              <w:rPr>
                <w:sz w:val="20"/>
                <w:szCs w:val="20"/>
              </w:rPr>
            </w:pPr>
            <w:r w:rsidRPr="00347D44">
              <w:rPr>
                <w:sz w:val="20"/>
                <w:szCs w:val="20"/>
              </w:rPr>
              <w:t>P</w:t>
            </w:r>
          </w:p>
        </w:tc>
        <w:tc>
          <w:tcPr>
            <w:tcW w:w="282" w:type="pct"/>
            <w:vAlign w:val="center"/>
          </w:tcPr>
          <w:p w:rsidR="00200D2F" w:rsidRPr="00347D44" w:rsidRDefault="00200D2F" w:rsidP="001F790C">
            <w:pPr>
              <w:jc w:val="center"/>
              <w:rPr>
                <w:sz w:val="20"/>
                <w:szCs w:val="20"/>
              </w:rPr>
            </w:pPr>
            <w:r w:rsidRPr="00347D44">
              <w:rPr>
                <w:sz w:val="20"/>
                <w:szCs w:val="20"/>
              </w:rPr>
              <w:t>S</w:t>
            </w:r>
          </w:p>
        </w:tc>
        <w:tc>
          <w:tcPr>
            <w:tcW w:w="479" w:type="pct"/>
            <w:vAlign w:val="center"/>
          </w:tcPr>
          <w:p w:rsidR="00200D2F" w:rsidRPr="00347D44" w:rsidRDefault="00200D2F" w:rsidP="001F790C">
            <w:pPr>
              <w:jc w:val="center"/>
              <w:rPr>
                <w:sz w:val="20"/>
                <w:szCs w:val="20"/>
              </w:rPr>
            </w:pPr>
            <w:r w:rsidRPr="00347D44">
              <w:rPr>
                <w:sz w:val="20"/>
                <w:szCs w:val="20"/>
              </w:rPr>
              <w:t>&gt;2 transfers</w:t>
            </w:r>
            <w:r w:rsidR="00B43E57">
              <w:rPr>
                <w:sz w:val="20"/>
                <w:szCs w:val="20"/>
              </w:rPr>
              <w:t xml:space="preserve"> </w:t>
            </w:r>
          </w:p>
        </w:tc>
      </w:tr>
    </w:tbl>
    <w:p w:rsidR="00356607" w:rsidRPr="00200D2F" w:rsidRDefault="00356607">
      <w:pPr>
        <w:rPr>
          <w:sz w:val="20"/>
          <w:szCs w:val="20"/>
        </w:rPr>
      </w:pPr>
      <w:r w:rsidRPr="00694BB7">
        <w:rPr>
          <w:i/>
          <w:sz w:val="20"/>
          <w:szCs w:val="20"/>
        </w:rPr>
        <w:t>P= primary indicator, S=secondary indicator</w:t>
      </w:r>
      <w:r w:rsidR="00904305" w:rsidRPr="00694BB7">
        <w:rPr>
          <w:i/>
          <w:sz w:val="20"/>
          <w:szCs w:val="20"/>
        </w:rPr>
        <w:t>, *Method not clearly explained</w:t>
      </w:r>
      <w:r w:rsidR="00641BB4" w:rsidRPr="00694BB7">
        <w:rPr>
          <w:i/>
          <w:sz w:val="20"/>
          <w:szCs w:val="20"/>
        </w:rPr>
        <w:t>, **Authors did not provide a clear set of final indicators</w:t>
      </w:r>
      <w:r w:rsidR="00E86DAC">
        <w:rPr>
          <w:i/>
          <w:sz w:val="20"/>
          <w:szCs w:val="20"/>
        </w:rPr>
        <w:t>;</w:t>
      </w:r>
      <w:r w:rsidR="00641BB4" w:rsidRPr="00694BB7">
        <w:rPr>
          <w:i/>
          <w:sz w:val="20"/>
          <w:szCs w:val="20"/>
        </w:rPr>
        <w:t xml:space="preserve"> th</w:t>
      </w:r>
      <w:r w:rsidR="00471A15">
        <w:rPr>
          <w:i/>
          <w:sz w:val="20"/>
          <w:szCs w:val="20"/>
        </w:rPr>
        <w:t>e</w:t>
      </w:r>
      <w:r w:rsidR="00641BB4" w:rsidRPr="00694BB7">
        <w:rPr>
          <w:i/>
          <w:sz w:val="20"/>
          <w:szCs w:val="20"/>
        </w:rPr>
        <w:t xml:space="preserve"> indicators in this table are the ones that the authors listed </w:t>
      </w:r>
      <w:r w:rsidR="00E86DAC">
        <w:rPr>
          <w:i/>
          <w:sz w:val="20"/>
          <w:szCs w:val="20"/>
        </w:rPr>
        <w:t xml:space="preserve">as </w:t>
      </w:r>
      <w:r w:rsidR="00641BB4" w:rsidRPr="00694BB7">
        <w:rPr>
          <w:i/>
          <w:sz w:val="20"/>
          <w:szCs w:val="20"/>
        </w:rPr>
        <w:t>their recommendations as behavioral risk factors.</w:t>
      </w:r>
    </w:p>
    <w:p w:rsidR="00CC4795" w:rsidRDefault="00CC4795" w:rsidP="000D2580">
      <w:pPr>
        <w:pStyle w:val="Heading2"/>
      </w:pPr>
      <w:r>
        <w:t>Threshold Values</w:t>
      </w:r>
    </w:p>
    <w:p w:rsidR="00CC4795" w:rsidRDefault="00F20B1A" w:rsidP="002D79D9">
      <w:pPr>
        <w:tabs>
          <w:tab w:val="left" w:pos="4230"/>
        </w:tabs>
      </w:pPr>
      <w:r>
        <w:t xml:space="preserve">As part of the creation of </w:t>
      </w:r>
      <w:proofErr w:type="gramStart"/>
      <w:r>
        <w:t>an</w:t>
      </w:r>
      <w:proofErr w:type="gramEnd"/>
      <w:r>
        <w:t xml:space="preserve"> EWS, decisions must be made about the threshold values</w:t>
      </w:r>
      <w:r w:rsidR="00693C19">
        <w:t xml:space="preserve"> associated with indicators</w:t>
      </w:r>
      <w:r>
        <w:t xml:space="preserve"> that will be used to identify students at risk of dropping out. </w:t>
      </w:r>
      <w:r w:rsidR="00B70BAD">
        <w:t>These threshold values represent minimum levels of the indicators</w:t>
      </w:r>
      <w:r w:rsidR="0031507F">
        <w:t xml:space="preserve"> </w:t>
      </w:r>
      <w:r w:rsidR="00B70BAD">
        <w:t>that districts can use to identify stud</w:t>
      </w:r>
      <w:r w:rsidR="00B84FB2">
        <w:t xml:space="preserve">ents at risk of dropping out. </w:t>
      </w:r>
      <w:r w:rsidR="00B70BAD">
        <w:t xml:space="preserve">For example, </w:t>
      </w:r>
      <w:proofErr w:type="spellStart"/>
      <w:r w:rsidR="00B70BAD" w:rsidRPr="00B70BAD">
        <w:t>Nelid</w:t>
      </w:r>
      <w:proofErr w:type="spellEnd"/>
      <w:r w:rsidR="00B70BAD" w:rsidRPr="00B70BAD">
        <w:t xml:space="preserve"> and </w:t>
      </w:r>
      <w:proofErr w:type="spellStart"/>
      <w:r w:rsidR="00B70BAD" w:rsidRPr="00B70BAD">
        <w:t>Balfanz</w:t>
      </w:r>
      <w:proofErr w:type="spellEnd"/>
      <w:r w:rsidR="00B70BAD" w:rsidRPr="00B70BAD">
        <w:t xml:space="preserve"> (2006</w:t>
      </w:r>
      <w:proofErr w:type="gramStart"/>
      <w:r w:rsidR="00B70BAD" w:rsidRPr="00B70BAD">
        <w:t>)</w:t>
      </w:r>
      <w:r w:rsidR="00B70BAD">
        <w:t>found</w:t>
      </w:r>
      <w:proofErr w:type="gramEnd"/>
      <w:r w:rsidR="00B70BAD">
        <w:t xml:space="preserve"> that 9</w:t>
      </w:r>
      <w:r w:rsidR="004E2DA8" w:rsidRPr="004E2DA8">
        <w:rPr>
          <w:vertAlign w:val="superscript"/>
        </w:rPr>
        <w:t>th</w:t>
      </w:r>
      <w:r w:rsidR="00B70BAD">
        <w:t xml:space="preserve"> graders who attend less than 80% of required school days are at a high risk of dropping out</w:t>
      </w:r>
      <w:r w:rsidR="00BD3538">
        <w:t xml:space="preserve"> as</w:t>
      </w:r>
      <w:r w:rsidR="00B70BAD">
        <w:t xml:space="preserve"> compared 9</w:t>
      </w:r>
      <w:r w:rsidR="004E2DA8" w:rsidRPr="004E2DA8">
        <w:rPr>
          <w:vertAlign w:val="superscript"/>
        </w:rPr>
        <w:t>th</w:t>
      </w:r>
      <w:r w:rsidR="00B70BAD">
        <w:t xml:space="preserve"> graders who attend more than 80% of the required school days</w:t>
      </w:r>
      <w:r w:rsidR="00B84FB2">
        <w:t xml:space="preserve">. </w:t>
      </w:r>
      <w:r w:rsidR="00B70BAD">
        <w:t>Therefore, they recommend that 9</w:t>
      </w:r>
      <w:r w:rsidR="004E2DA8" w:rsidRPr="004E2DA8">
        <w:rPr>
          <w:vertAlign w:val="superscript"/>
        </w:rPr>
        <w:t>th</w:t>
      </w:r>
      <w:r w:rsidR="00B70BAD">
        <w:t xml:space="preserve"> grade students with attendance </w:t>
      </w:r>
      <w:r w:rsidR="00BD3538">
        <w:t xml:space="preserve">of </w:t>
      </w:r>
      <w:r w:rsidR="00B70BAD">
        <w:t>less than 80% in their 9</w:t>
      </w:r>
      <w:r w:rsidR="004E2DA8" w:rsidRPr="004E2DA8">
        <w:rPr>
          <w:vertAlign w:val="superscript"/>
        </w:rPr>
        <w:t>th</w:t>
      </w:r>
      <w:r w:rsidR="00B70BAD">
        <w:t xml:space="preserve"> grade year be</w:t>
      </w:r>
      <w:r w:rsidR="00BD3538">
        <w:t xml:space="preserve"> identified as</w:t>
      </w:r>
      <w:r w:rsidR="00B70BAD">
        <w:t xml:space="preserve"> candidates for dropout intervention programs</w:t>
      </w:r>
      <w:r w:rsidR="00B84FB2">
        <w:t xml:space="preserve">. </w:t>
      </w:r>
      <w:r w:rsidR="00B50290">
        <w:fldChar w:fldCharType="begin"/>
      </w:r>
      <w:r w:rsidR="000C2285">
        <w:instrText xml:space="preserve"> REF _Ref307832636 \h </w:instrText>
      </w:r>
      <w:r w:rsidR="00B50290">
        <w:fldChar w:fldCharType="separate"/>
      </w:r>
      <w:r w:rsidR="00FC1081">
        <w:t xml:space="preserve">Table </w:t>
      </w:r>
      <w:r w:rsidR="00FC1081">
        <w:rPr>
          <w:noProof/>
        </w:rPr>
        <w:t>3</w:t>
      </w:r>
      <w:r w:rsidR="00B50290">
        <w:fldChar w:fldCharType="end"/>
      </w:r>
      <w:r w:rsidR="000C2285">
        <w:t xml:space="preserve"> </w:t>
      </w:r>
      <w:r>
        <w:t>provides information about the threshold values recommended in the</w:t>
      </w:r>
      <w:r w:rsidR="00200D2F">
        <w:t xml:space="preserve"> three</w:t>
      </w:r>
      <w:r>
        <w:t xml:space="preserve"> reviewed articles </w:t>
      </w:r>
      <w:r w:rsidR="00200D2F">
        <w:t xml:space="preserve">that provided thresholds </w:t>
      </w:r>
      <w:r>
        <w:t>and the method used to determine these values</w:t>
      </w:r>
      <w:r w:rsidR="000C2285">
        <w:t xml:space="preserve">. </w:t>
      </w:r>
      <w:r w:rsidR="00DB1BBB">
        <w:t>The methods for determining threshold values were not well defined</w:t>
      </w:r>
      <w:r w:rsidR="00C90F73">
        <w:t>,</w:t>
      </w:r>
      <w:r w:rsidR="00DB1BBB">
        <w:t xml:space="preserve"> so replication on other data sets would be difficult</w:t>
      </w:r>
      <w:r w:rsidR="000C2285">
        <w:t xml:space="preserve">. </w:t>
      </w:r>
      <w:r w:rsidR="00DB1BBB">
        <w:t>Further, the authors also varied in how universal the indicators could be for students as they progressed through high school</w:t>
      </w:r>
      <w:r w:rsidR="000C2285">
        <w:t xml:space="preserve">. </w:t>
      </w:r>
      <w:proofErr w:type="spellStart"/>
      <w:r w:rsidR="00CC4795">
        <w:t>Balfanz</w:t>
      </w:r>
      <w:proofErr w:type="spellEnd"/>
      <w:r w:rsidR="00CC4795">
        <w:t xml:space="preserve"> et al. (2010) </w:t>
      </w:r>
      <w:r w:rsidR="00DB1BBB">
        <w:t>generated recommendations that could be</w:t>
      </w:r>
      <w:r w:rsidR="003349FF">
        <w:t xml:space="preserve"> used for high school students in any grade</w:t>
      </w:r>
      <w:r w:rsidR="00586DD2">
        <w:t xml:space="preserve"> (</w:t>
      </w:r>
      <w:r w:rsidR="00BB1F96">
        <w:t>e.g.</w:t>
      </w:r>
      <w:r w:rsidR="00586DD2">
        <w:t xml:space="preserve"> a student whose daily attendance rate at any point during high school is below 85% is at risk for dropping out)</w:t>
      </w:r>
      <w:r w:rsidR="000C2285">
        <w:t xml:space="preserve">. </w:t>
      </w:r>
      <w:proofErr w:type="spellStart"/>
      <w:r w:rsidR="00DB1BBB">
        <w:t>Nelid</w:t>
      </w:r>
      <w:proofErr w:type="spellEnd"/>
      <w:r w:rsidR="00DB1BBB">
        <w:t xml:space="preserve"> and </w:t>
      </w:r>
      <w:proofErr w:type="spellStart"/>
      <w:r w:rsidR="00DB1BBB">
        <w:t>Balfanz</w:t>
      </w:r>
      <w:proofErr w:type="spellEnd"/>
      <w:r w:rsidR="00DB1BBB">
        <w:t xml:space="preserve"> (2006) provide recommendations that are specific </w:t>
      </w:r>
      <w:r w:rsidR="00085DCF">
        <w:t>and sometimes unique to different</w:t>
      </w:r>
      <w:r w:rsidR="00DB1BBB">
        <w:t xml:space="preserve"> high school grade level</w:t>
      </w:r>
      <w:r w:rsidR="00085DCF">
        <w:t>s</w:t>
      </w:r>
      <w:r w:rsidR="00BB1F96">
        <w:t xml:space="preserve"> (e.g. a 10</w:t>
      </w:r>
      <w:r w:rsidR="00BB1F96" w:rsidRPr="00BB1F96">
        <w:rPr>
          <w:vertAlign w:val="superscript"/>
        </w:rPr>
        <w:t>th</w:t>
      </w:r>
      <w:r w:rsidR="00BB1F96">
        <w:t xml:space="preserve"> grade student enrolled in less than 5 course credits is in danger of </w:t>
      </w:r>
      <w:r w:rsidR="005A2254">
        <w:t>dropping</w:t>
      </w:r>
      <w:r w:rsidR="00BB1F96">
        <w:t xml:space="preserve"> out, but a 12</w:t>
      </w:r>
      <w:r w:rsidR="00BB1F96" w:rsidRPr="00BB1F96">
        <w:rPr>
          <w:vertAlign w:val="superscript"/>
        </w:rPr>
        <w:t>th</w:t>
      </w:r>
      <w:r w:rsidR="00BB1F96">
        <w:t xml:space="preserve"> grade student enrolled in less than three course credits is in danger of dropping out)</w:t>
      </w:r>
      <w:r w:rsidR="00586DD2">
        <w:t xml:space="preserve"> </w:t>
      </w:r>
      <w:r w:rsidR="000C2285">
        <w:t>.</w:t>
      </w:r>
      <w:r w:rsidR="00DB1BBB">
        <w:t xml:space="preserve"> </w:t>
      </w:r>
      <w:r w:rsidR="00BB1F96">
        <w:t xml:space="preserve">The blank cells in the table indicate that the authors did not report threshold values for a particular indicator (e.g. only </w:t>
      </w:r>
      <w:proofErr w:type="spellStart"/>
      <w:r w:rsidR="00BB1F96">
        <w:t>Balfanz</w:t>
      </w:r>
      <w:proofErr w:type="spellEnd"/>
      <w:r w:rsidR="00BB1F96">
        <w:t xml:space="preserve"> et</w:t>
      </w:r>
      <w:r w:rsidR="00140471">
        <w:t>.</w:t>
      </w:r>
      <w:r w:rsidR="00BB1F96">
        <w:t xml:space="preserve"> al. reported a threshold valued related to student suspensions).  </w:t>
      </w:r>
      <w:r w:rsidR="00130732">
        <w:t>The table also includes</w:t>
      </w:r>
      <w:r w:rsidR="003349FF">
        <w:t xml:space="preserve"> the default</w:t>
      </w:r>
      <w:r w:rsidR="00130732">
        <w:t xml:space="preserve"> threshold levels for the National High School Center Early Warning System </w:t>
      </w:r>
      <w:r w:rsidR="00586DD2">
        <w:t>High School Tool.</w:t>
      </w:r>
      <w:r w:rsidR="003349FF">
        <w:t xml:space="preserve"> </w:t>
      </w:r>
      <w:r w:rsidR="00B70BAD">
        <w:t xml:space="preserve">This </w:t>
      </w:r>
      <w:r w:rsidR="009D5D50">
        <w:t xml:space="preserve">free </w:t>
      </w:r>
      <w:r w:rsidR="00586DD2">
        <w:t xml:space="preserve">tool is an excel file </w:t>
      </w:r>
      <w:r w:rsidR="00B70BAD">
        <w:t xml:space="preserve">to be used as </w:t>
      </w:r>
      <w:proofErr w:type="gramStart"/>
      <w:r w:rsidR="00B70BAD">
        <w:t>an</w:t>
      </w:r>
      <w:proofErr w:type="gramEnd"/>
      <w:r w:rsidR="00B70BAD">
        <w:t xml:space="preserve"> EWS</w:t>
      </w:r>
      <w:r w:rsidR="00B84FB2">
        <w:t xml:space="preserve">. </w:t>
      </w:r>
      <w:r w:rsidR="002D79D9">
        <w:t xml:space="preserve">In default mode, it is </w:t>
      </w:r>
      <w:proofErr w:type="spellStart"/>
      <w:r w:rsidR="002D79D9">
        <w:t>is</w:t>
      </w:r>
      <w:proofErr w:type="spellEnd"/>
      <w:r w:rsidR="002D79D9">
        <w:t xml:space="preserve"> designed to run analyses to identify students at risk of dropping out</w:t>
      </w:r>
      <w:r w:rsidR="005B245D">
        <w:t>,</w:t>
      </w:r>
      <w:r w:rsidR="002D79D9">
        <w:t xml:space="preserve"> based on the thresholds reported in </w:t>
      </w:r>
      <w:fldSimple w:instr=" REF _Ref307819442 \h  \* MERGEFORMAT ">
        <w:r w:rsidR="002D79D9" w:rsidRPr="002D79D9">
          <w:t xml:space="preserve">Table </w:t>
        </w:r>
        <w:r w:rsidR="002D79D9" w:rsidRPr="002D79D9">
          <w:rPr>
            <w:noProof/>
          </w:rPr>
          <w:t>3</w:t>
        </w:r>
      </w:fldSimple>
      <w:r w:rsidR="002D79D9">
        <w:t xml:space="preserve">. </w:t>
      </w:r>
      <w:r w:rsidR="003349FF" w:rsidRPr="002D79D9">
        <w:t>The</w:t>
      </w:r>
      <w:r w:rsidR="003349FF">
        <w:t xml:space="preserve"> technical manual of this tool provided these </w:t>
      </w:r>
      <w:r w:rsidR="00EC1CF5">
        <w:t xml:space="preserve">threshold </w:t>
      </w:r>
      <w:r w:rsidR="003349FF">
        <w:t>values but did not describe their methodology for determining the values.</w:t>
      </w:r>
      <w:r w:rsidR="00867C27">
        <w:t xml:space="preserve"> None of the authors provided information on the accuracy of their proposed threshold vales.</w:t>
      </w:r>
    </w:p>
    <w:p w:rsidR="00CD26D3" w:rsidRPr="00CD26D3" w:rsidRDefault="00CD26D3" w:rsidP="00CD26D3">
      <w:pPr>
        <w:sectPr w:rsidR="00CD26D3" w:rsidRPr="00CD26D3" w:rsidSect="00200D2F">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p w:rsidR="00F20B1A" w:rsidRPr="00E6187D" w:rsidRDefault="00C27685" w:rsidP="006A34D1">
      <w:pPr>
        <w:pStyle w:val="Caption"/>
        <w:rPr>
          <w:b/>
        </w:rPr>
      </w:pPr>
      <w:bookmarkStart w:id="3" w:name="_Ref307819442"/>
      <w:bookmarkStart w:id="4" w:name="_Ref307832636"/>
      <w:r w:rsidRPr="00C27685">
        <w:rPr>
          <w:b/>
        </w:rPr>
        <w:lastRenderedPageBreak/>
        <w:t xml:space="preserve">Table </w:t>
      </w:r>
      <w:r w:rsidR="00B50290" w:rsidRPr="00C27685">
        <w:rPr>
          <w:b/>
        </w:rPr>
        <w:fldChar w:fldCharType="begin"/>
      </w:r>
      <w:r w:rsidRPr="00C27685">
        <w:rPr>
          <w:b/>
        </w:rPr>
        <w:instrText xml:space="preserve"> SEQ Table \* ARABIC </w:instrText>
      </w:r>
      <w:r w:rsidR="00B50290" w:rsidRPr="00C27685">
        <w:rPr>
          <w:b/>
        </w:rPr>
        <w:fldChar w:fldCharType="separate"/>
      </w:r>
      <w:r w:rsidRPr="00C27685">
        <w:rPr>
          <w:b/>
          <w:noProof/>
        </w:rPr>
        <w:t>3</w:t>
      </w:r>
      <w:r w:rsidR="00B50290" w:rsidRPr="00C27685">
        <w:rPr>
          <w:b/>
        </w:rPr>
        <w:fldChar w:fldCharType="end"/>
      </w:r>
      <w:bookmarkEnd w:id="3"/>
      <w:bookmarkEnd w:id="4"/>
      <w:r w:rsidRPr="00C27685">
        <w:rPr>
          <w:b/>
        </w:rPr>
        <w:t>: Recommended Threshold</w:t>
      </w:r>
      <w:r w:rsidR="00B84FB2">
        <w:rPr>
          <w:b/>
        </w:rPr>
        <w:t xml:space="preserve"> Value </w:t>
      </w:r>
      <w:r w:rsidRPr="00C27685">
        <w:rPr>
          <w:b/>
        </w:rPr>
        <w:t>by Article</w:t>
      </w:r>
    </w:p>
    <w:tbl>
      <w:tblPr>
        <w:tblStyle w:val="TableGrid"/>
        <w:tblW w:w="4708" w:type="pct"/>
        <w:tblLook w:val="04A0"/>
      </w:tblPr>
      <w:tblGrid>
        <w:gridCol w:w="996"/>
        <w:gridCol w:w="1945"/>
        <w:gridCol w:w="1164"/>
        <w:gridCol w:w="970"/>
        <w:gridCol w:w="878"/>
        <w:gridCol w:w="876"/>
        <w:gridCol w:w="1179"/>
        <w:gridCol w:w="883"/>
        <w:gridCol w:w="1362"/>
        <w:gridCol w:w="2154"/>
      </w:tblGrid>
      <w:tr w:rsidR="007B233A" w:rsidRPr="004A41B4" w:rsidTr="009D5D50">
        <w:trPr>
          <w:cantSplit/>
          <w:trHeight w:val="1619"/>
        </w:trPr>
        <w:tc>
          <w:tcPr>
            <w:tcW w:w="401" w:type="pct"/>
          </w:tcPr>
          <w:p w:rsidR="007B233A" w:rsidRPr="004A41B4" w:rsidRDefault="007B233A" w:rsidP="00FC1081">
            <w:pPr>
              <w:rPr>
                <w:sz w:val="20"/>
                <w:szCs w:val="20"/>
              </w:rPr>
            </w:pPr>
            <w:r w:rsidRPr="004A41B4">
              <w:rPr>
                <w:sz w:val="20"/>
                <w:szCs w:val="20"/>
              </w:rPr>
              <w:t>Article</w:t>
            </w:r>
          </w:p>
        </w:tc>
        <w:tc>
          <w:tcPr>
            <w:tcW w:w="784" w:type="pct"/>
          </w:tcPr>
          <w:p w:rsidR="007B233A" w:rsidRPr="004A41B4" w:rsidRDefault="007B233A" w:rsidP="00130732">
            <w:pPr>
              <w:rPr>
                <w:sz w:val="20"/>
                <w:szCs w:val="20"/>
              </w:rPr>
            </w:pPr>
            <w:r w:rsidRPr="004A41B4">
              <w:rPr>
                <w:sz w:val="20"/>
                <w:szCs w:val="20"/>
              </w:rPr>
              <w:t>Method used to determine threshold</w:t>
            </w:r>
          </w:p>
        </w:tc>
        <w:tc>
          <w:tcPr>
            <w:tcW w:w="469" w:type="pct"/>
            <w:textDirection w:val="btLr"/>
            <w:vAlign w:val="center"/>
          </w:tcPr>
          <w:p w:rsidR="007B233A" w:rsidRPr="004A41B4" w:rsidRDefault="007B233A" w:rsidP="00130732">
            <w:pPr>
              <w:ind w:left="113" w:right="113"/>
              <w:rPr>
                <w:sz w:val="20"/>
                <w:szCs w:val="20"/>
              </w:rPr>
            </w:pPr>
            <w:r w:rsidRPr="004A41B4">
              <w:rPr>
                <w:sz w:val="20"/>
                <w:szCs w:val="20"/>
              </w:rPr>
              <w:t>Grade(s) to apply  recommendation</w:t>
            </w:r>
          </w:p>
        </w:tc>
        <w:tc>
          <w:tcPr>
            <w:tcW w:w="391" w:type="pct"/>
            <w:textDirection w:val="btLr"/>
            <w:vAlign w:val="center"/>
          </w:tcPr>
          <w:p w:rsidR="007B233A" w:rsidRDefault="007B233A" w:rsidP="00130732">
            <w:pPr>
              <w:ind w:left="113" w:right="113"/>
              <w:rPr>
                <w:sz w:val="20"/>
                <w:szCs w:val="20"/>
              </w:rPr>
            </w:pPr>
            <w:r w:rsidRPr="004A41B4">
              <w:rPr>
                <w:sz w:val="20"/>
                <w:szCs w:val="20"/>
              </w:rPr>
              <w:t>Course Failure</w:t>
            </w:r>
            <w:r w:rsidR="00586DD2">
              <w:rPr>
                <w:sz w:val="20"/>
                <w:szCs w:val="20"/>
              </w:rPr>
              <w:t>(s)</w:t>
            </w:r>
          </w:p>
          <w:p w:rsidR="00586DD2" w:rsidRPr="004A41B4" w:rsidRDefault="00586DD2" w:rsidP="00130732">
            <w:pPr>
              <w:ind w:left="113" w:right="113"/>
              <w:rPr>
                <w:sz w:val="20"/>
                <w:szCs w:val="20"/>
              </w:rPr>
            </w:pPr>
            <w:r>
              <w:rPr>
                <w:sz w:val="20"/>
                <w:szCs w:val="20"/>
              </w:rPr>
              <w:t>(Any Subject)</w:t>
            </w:r>
          </w:p>
        </w:tc>
        <w:tc>
          <w:tcPr>
            <w:tcW w:w="354" w:type="pct"/>
            <w:textDirection w:val="btLr"/>
            <w:vAlign w:val="center"/>
          </w:tcPr>
          <w:p w:rsidR="007B233A" w:rsidRPr="004A41B4" w:rsidRDefault="007B233A" w:rsidP="00130732">
            <w:pPr>
              <w:ind w:left="113" w:right="113"/>
              <w:rPr>
                <w:sz w:val="20"/>
                <w:szCs w:val="20"/>
              </w:rPr>
            </w:pPr>
            <w:r>
              <w:rPr>
                <w:sz w:val="20"/>
                <w:szCs w:val="20"/>
              </w:rPr>
              <w:t xml:space="preserve">English/ Language Arts </w:t>
            </w:r>
            <w:r w:rsidRPr="004A41B4">
              <w:rPr>
                <w:sz w:val="20"/>
                <w:szCs w:val="20"/>
              </w:rPr>
              <w:t>Grades</w:t>
            </w:r>
          </w:p>
        </w:tc>
        <w:tc>
          <w:tcPr>
            <w:tcW w:w="353" w:type="pct"/>
            <w:textDirection w:val="btLr"/>
            <w:vAlign w:val="center"/>
          </w:tcPr>
          <w:p w:rsidR="007B233A" w:rsidRPr="004A41B4" w:rsidRDefault="007B233A" w:rsidP="00130732">
            <w:pPr>
              <w:ind w:left="113" w:right="113"/>
              <w:rPr>
                <w:sz w:val="20"/>
                <w:szCs w:val="20"/>
              </w:rPr>
            </w:pPr>
            <w:r w:rsidRPr="004A41B4">
              <w:rPr>
                <w:sz w:val="20"/>
                <w:szCs w:val="20"/>
              </w:rPr>
              <w:t>Math Grades</w:t>
            </w:r>
          </w:p>
        </w:tc>
        <w:tc>
          <w:tcPr>
            <w:tcW w:w="475" w:type="pct"/>
            <w:textDirection w:val="btLr"/>
            <w:vAlign w:val="center"/>
          </w:tcPr>
          <w:p w:rsidR="009D5D50" w:rsidRDefault="009D5D50" w:rsidP="00130732">
            <w:pPr>
              <w:ind w:left="113" w:right="113"/>
              <w:rPr>
                <w:sz w:val="20"/>
                <w:szCs w:val="20"/>
              </w:rPr>
            </w:pPr>
            <w:r>
              <w:rPr>
                <w:sz w:val="20"/>
                <w:szCs w:val="20"/>
              </w:rPr>
              <w:t xml:space="preserve">Daily </w:t>
            </w:r>
          </w:p>
          <w:p w:rsidR="007B233A" w:rsidRPr="004A41B4" w:rsidRDefault="007B233A" w:rsidP="00130732">
            <w:pPr>
              <w:ind w:left="113" w:right="113"/>
              <w:rPr>
                <w:sz w:val="20"/>
                <w:szCs w:val="20"/>
              </w:rPr>
            </w:pPr>
            <w:r w:rsidRPr="004A41B4">
              <w:rPr>
                <w:sz w:val="20"/>
                <w:szCs w:val="20"/>
              </w:rPr>
              <w:t>Attendance</w:t>
            </w:r>
          </w:p>
        </w:tc>
        <w:tc>
          <w:tcPr>
            <w:tcW w:w="356" w:type="pct"/>
            <w:textDirection w:val="btLr"/>
            <w:vAlign w:val="center"/>
          </w:tcPr>
          <w:p w:rsidR="007B233A" w:rsidRPr="004A41B4" w:rsidRDefault="007B233A" w:rsidP="00130732">
            <w:pPr>
              <w:ind w:left="113" w:right="113"/>
              <w:rPr>
                <w:sz w:val="20"/>
                <w:szCs w:val="20"/>
              </w:rPr>
            </w:pPr>
            <w:r w:rsidRPr="004A41B4">
              <w:rPr>
                <w:sz w:val="20"/>
                <w:szCs w:val="20"/>
              </w:rPr>
              <w:t>Number of Suspensions</w:t>
            </w:r>
          </w:p>
        </w:tc>
        <w:tc>
          <w:tcPr>
            <w:tcW w:w="549" w:type="pct"/>
            <w:textDirection w:val="btLr"/>
            <w:vAlign w:val="center"/>
          </w:tcPr>
          <w:p w:rsidR="007B233A" w:rsidRPr="004A41B4" w:rsidRDefault="007B233A" w:rsidP="00130732">
            <w:pPr>
              <w:ind w:left="113" w:right="113"/>
              <w:rPr>
                <w:sz w:val="20"/>
                <w:szCs w:val="20"/>
              </w:rPr>
            </w:pPr>
            <w:r w:rsidRPr="004A41B4">
              <w:rPr>
                <w:sz w:val="20"/>
                <w:szCs w:val="20"/>
              </w:rPr>
              <w:t>Course Credits</w:t>
            </w:r>
          </w:p>
        </w:tc>
        <w:tc>
          <w:tcPr>
            <w:tcW w:w="869" w:type="pct"/>
            <w:textDirection w:val="btLr"/>
            <w:vAlign w:val="center"/>
          </w:tcPr>
          <w:p w:rsidR="007B233A" w:rsidRPr="004A41B4" w:rsidRDefault="007B233A" w:rsidP="00130732">
            <w:pPr>
              <w:ind w:left="113" w:right="113"/>
              <w:rPr>
                <w:sz w:val="20"/>
                <w:szCs w:val="20"/>
              </w:rPr>
            </w:pPr>
            <w:r w:rsidRPr="004A41B4">
              <w:rPr>
                <w:sz w:val="20"/>
                <w:szCs w:val="20"/>
              </w:rPr>
              <w:t xml:space="preserve">Other Indicators </w:t>
            </w:r>
          </w:p>
        </w:tc>
      </w:tr>
      <w:tr w:rsidR="007B233A" w:rsidRPr="004A41B4" w:rsidTr="009D5D50">
        <w:trPr>
          <w:trHeight w:val="169"/>
        </w:trPr>
        <w:tc>
          <w:tcPr>
            <w:tcW w:w="401" w:type="pct"/>
            <w:vMerge w:val="restart"/>
            <w:textDirection w:val="btLr"/>
          </w:tcPr>
          <w:p w:rsidR="007B233A" w:rsidRPr="004A41B4" w:rsidRDefault="007B233A" w:rsidP="00130732">
            <w:pPr>
              <w:ind w:left="113" w:right="113"/>
              <w:rPr>
                <w:sz w:val="20"/>
                <w:szCs w:val="20"/>
              </w:rPr>
            </w:pPr>
            <w:proofErr w:type="spellStart"/>
            <w:r w:rsidRPr="004A41B4">
              <w:rPr>
                <w:sz w:val="20"/>
                <w:szCs w:val="20"/>
              </w:rPr>
              <w:t>Nelid</w:t>
            </w:r>
            <w:proofErr w:type="spellEnd"/>
            <w:r w:rsidRPr="004A41B4">
              <w:rPr>
                <w:sz w:val="20"/>
                <w:szCs w:val="20"/>
              </w:rPr>
              <w:t xml:space="preserve"> and </w:t>
            </w:r>
            <w:proofErr w:type="spellStart"/>
            <w:r w:rsidRPr="004A41B4">
              <w:rPr>
                <w:sz w:val="20"/>
                <w:szCs w:val="20"/>
              </w:rPr>
              <w:t>Balfanz</w:t>
            </w:r>
            <w:proofErr w:type="spellEnd"/>
            <w:r w:rsidRPr="004A41B4">
              <w:rPr>
                <w:sz w:val="20"/>
                <w:szCs w:val="20"/>
              </w:rPr>
              <w:t xml:space="preserve"> (2006)</w:t>
            </w:r>
          </w:p>
        </w:tc>
        <w:tc>
          <w:tcPr>
            <w:tcW w:w="784" w:type="pct"/>
            <w:vMerge w:val="restart"/>
            <w:vAlign w:val="center"/>
          </w:tcPr>
          <w:p w:rsidR="007B233A" w:rsidRPr="004A41B4" w:rsidRDefault="007B233A" w:rsidP="00CC4795">
            <w:pPr>
              <w:rPr>
                <w:sz w:val="20"/>
                <w:szCs w:val="20"/>
              </w:rPr>
            </w:pPr>
            <w:r w:rsidRPr="004A41B4">
              <w:rPr>
                <w:sz w:val="20"/>
                <w:szCs w:val="20"/>
              </w:rPr>
              <w:t xml:space="preserve">Not clearly defined </w:t>
            </w:r>
          </w:p>
        </w:tc>
        <w:tc>
          <w:tcPr>
            <w:tcW w:w="469" w:type="pct"/>
            <w:vAlign w:val="center"/>
          </w:tcPr>
          <w:p w:rsidR="007B233A" w:rsidRPr="004A41B4" w:rsidRDefault="007B233A" w:rsidP="00130732">
            <w:pPr>
              <w:jc w:val="center"/>
              <w:rPr>
                <w:sz w:val="20"/>
                <w:szCs w:val="20"/>
              </w:rPr>
            </w:pPr>
            <w:r w:rsidRPr="004A41B4">
              <w:rPr>
                <w:sz w:val="20"/>
                <w:szCs w:val="20"/>
              </w:rPr>
              <w:t>9*</w:t>
            </w:r>
          </w:p>
        </w:tc>
        <w:tc>
          <w:tcPr>
            <w:tcW w:w="391" w:type="pct"/>
            <w:vAlign w:val="center"/>
          </w:tcPr>
          <w:p w:rsidR="007B233A" w:rsidRPr="004A41B4" w:rsidRDefault="007B233A" w:rsidP="00130732">
            <w:pPr>
              <w:jc w:val="center"/>
              <w:rPr>
                <w:sz w:val="20"/>
                <w:szCs w:val="20"/>
              </w:rPr>
            </w:pPr>
          </w:p>
        </w:tc>
        <w:tc>
          <w:tcPr>
            <w:tcW w:w="354" w:type="pct"/>
            <w:vAlign w:val="center"/>
          </w:tcPr>
          <w:p w:rsidR="007B233A" w:rsidRPr="004A41B4" w:rsidRDefault="007B233A" w:rsidP="00130732">
            <w:pPr>
              <w:jc w:val="center"/>
              <w:rPr>
                <w:sz w:val="20"/>
                <w:szCs w:val="20"/>
              </w:rPr>
            </w:pPr>
            <w:r w:rsidRPr="004A41B4">
              <w:rPr>
                <w:sz w:val="20"/>
                <w:szCs w:val="20"/>
              </w:rPr>
              <w:t>8</w:t>
            </w:r>
            <w:r w:rsidRPr="004A41B4">
              <w:rPr>
                <w:sz w:val="20"/>
                <w:szCs w:val="20"/>
                <w:vertAlign w:val="superscript"/>
              </w:rPr>
              <w:t>th</w:t>
            </w:r>
            <w:r w:rsidRPr="004A41B4">
              <w:rPr>
                <w:sz w:val="20"/>
                <w:szCs w:val="20"/>
              </w:rPr>
              <w:t xml:space="preserve"> Grade Failure</w:t>
            </w:r>
          </w:p>
        </w:tc>
        <w:tc>
          <w:tcPr>
            <w:tcW w:w="353" w:type="pct"/>
            <w:vAlign w:val="center"/>
          </w:tcPr>
          <w:p w:rsidR="007B233A" w:rsidRPr="004A41B4" w:rsidRDefault="007B233A" w:rsidP="00130732">
            <w:pPr>
              <w:jc w:val="center"/>
              <w:rPr>
                <w:sz w:val="20"/>
                <w:szCs w:val="20"/>
              </w:rPr>
            </w:pPr>
            <w:r w:rsidRPr="004A41B4">
              <w:rPr>
                <w:sz w:val="20"/>
                <w:szCs w:val="20"/>
              </w:rPr>
              <w:t>8</w:t>
            </w:r>
            <w:r w:rsidRPr="004A41B4">
              <w:rPr>
                <w:sz w:val="20"/>
                <w:szCs w:val="20"/>
                <w:vertAlign w:val="superscript"/>
              </w:rPr>
              <w:t>th</w:t>
            </w:r>
            <w:r w:rsidRPr="004A41B4">
              <w:rPr>
                <w:sz w:val="20"/>
                <w:szCs w:val="20"/>
              </w:rPr>
              <w:t xml:space="preserve"> Grade Failure</w:t>
            </w:r>
          </w:p>
        </w:tc>
        <w:tc>
          <w:tcPr>
            <w:tcW w:w="475" w:type="pct"/>
            <w:vAlign w:val="center"/>
          </w:tcPr>
          <w:p w:rsidR="007B233A" w:rsidRPr="004A41B4" w:rsidRDefault="007B233A" w:rsidP="00130732">
            <w:pPr>
              <w:jc w:val="center"/>
              <w:rPr>
                <w:sz w:val="20"/>
                <w:szCs w:val="20"/>
              </w:rPr>
            </w:pPr>
            <w:r w:rsidRPr="004A41B4">
              <w:rPr>
                <w:sz w:val="20"/>
                <w:szCs w:val="20"/>
              </w:rPr>
              <w:t>&lt;80% in 8</w:t>
            </w:r>
            <w:r w:rsidRPr="004A41B4">
              <w:rPr>
                <w:sz w:val="20"/>
                <w:szCs w:val="20"/>
                <w:vertAlign w:val="superscript"/>
              </w:rPr>
              <w:t>th</w:t>
            </w:r>
            <w:r w:rsidRPr="004A41B4">
              <w:rPr>
                <w:sz w:val="20"/>
                <w:szCs w:val="20"/>
              </w:rPr>
              <w:t xml:space="preserve"> grade</w:t>
            </w:r>
          </w:p>
        </w:tc>
        <w:tc>
          <w:tcPr>
            <w:tcW w:w="356" w:type="pct"/>
            <w:vAlign w:val="center"/>
          </w:tcPr>
          <w:p w:rsidR="007B233A" w:rsidRPr="004A41B4" w:rsidRDefault="007B233A" w:rsidP="00130732">
            <w:pPr>
              <w:jc w:val="center"/>
              <w:rPr>
                <w:sz w:val="20"/>
                <w:szCs w:val="20"/>
              </w:rPr>
            </w:pPr>
          </w:p>
        </w:tc>
        <w:tc>
          <w:tcPr>
            <w:tcW w:w="549" w:type="pct"/>
            <w:vAlign w:val="center"/>
          </w:tcPr>
          <w:p w:rsidR="007B233A" w:rsidRPr="004A41B4" w:rsidRDefault="007B233A" w:rsidP="00130732">
            <w:pPr>
              <w:jc w:val="center"/>
              <w:rPr>
                <w:sz w:val="20"/>
                <w:szCs w:val="20"/>
              </w:rPr>
            </w:pPr>
          </w:p>
        </w:tc>
        <w:tc>
          <w:tcPr>
            <w:tcW w:w="869" w:type="pct"/>
            <w:vAlign w:val="center"/>
          </w:tcPr>
          <w:p w:rsidR="007B233A" w:rsidRPr="004A41B4" w:rsidRDefault="007B233A" w:rsidP="00130732">
            <w:pPr>
              <w:jc w:val="center"/>
              <w:rPr>
                <w:sz w:val="20"/>
                <w:szCs w:val="20"/>
              </w:rPr>
            </w:pPr>
          </w:p>
        </w:tc>
      </w:tr>
      <w:tr w:rsidR="007B233A" w:rsidRPr="004A41B4" w:rsidTr="009D5D50">
        <w:trPr>
          <w:trHeight w:val="323"/>
        </w:trPr>
        <w:tc>
          <w:tcPr>
            <w:tcW w:w="401" w:type="pct"/>
            <w:vMerge/>
            <w:textDirection w:val="btLr"/>
          </w:tcPr>
          <w:p w:rsidR="007B233A" w:rsidRPr="004A41B4" w:rsidRDefault="007B233A" w:rsidP="00130732">
            <w:pPr>
              <w:ind w:left="113" w:right="113"/>
              <w:rPr>
                <w:sz w:val="20"/>
                <w:szCs w:val="20"/>
              </w:rPr>
            </w:pPr>
          </w:p>
        </w:tc>
        <w:tc>
          <w:tcPr>
            <w:tcW w:w="784" w:type="pct"/>
            <w:vMerge/>
            <w:vAlign w:val="center"/>
          </w:tcPr>
          <w:p w:rsidR="007B233A" w:rsidRPr="004A41B4" w:rsidRDefault="007B233A" w:rsidP="00CC4795">
            <w:pPr>
              <w:rPr>
                <w:sz w:val="20"/>
                <w:szCs w:val="20"/>
              </w:rPr>
            </w:pPr>
          </w:p>
        </w:tc>
        <w:tc>
          <w:tcPr>
            <w:tcW w:w="469" w:type="pct"/>
            <w:vMerge w:val="restart"/>
            <w:vAlign w:val="center"/>
          </w:tcPr>
          <w:p w:rsidR="007B233A" w:rsidRPr="004A41B4" w:rsidRDefault="007B233A" w:rsidP="009D5D50">
            <w:pPr>
              <w:jc w:val="center"/>
              <w:rPr>
                <w:sz w:val="20"/>
                <w:szCs w:val="20"/>
              </w:rPr>
            </w:pPr>
            <w:r w:rsidRPr="004A41B4">
              <w:rPr>
                <w:sz w:val="20"/>
                <w:szCs w:val="20"/>
              </w:rPr>
              <w:t>10**</w:t>
            </w:r>
          </w:p>
        </w:tc>
        <w:tc>
          <w:tcPr>
            <w:tcW w:w="391" w:type="pct"/>
            <w:vMerge w:val="restart"/>
            <w:vAlign w:val="center"/>
          </w:tcPr>
          <w:p w:rsidR="007B233A" w:rsidRPr="004A41B4" w:rsidRDefault="007B233A" w:rsidP="00130732">
            <w:pPr>
              <w:jc w:val="center"/>
              <w:rPr>
                <w:sz w:val="20"/>
                <w:szCs w:val="20"/>
              </w:rPr>
            </w:pPr>
          </w:p>
        </w:tc>
        <w:tc>
          <w:tcPr>
            <w:tcW w:w="354" w:type="pct"/>
            <w:vMerge w:val="restart"/>
            <w:vAlign w:val="center"/>
          </w:tcPr>
          <w:p w:rsidR="007B233A" w:rsidRPr="004A41B4" w:rsidRDefault="007B233A" w:rsidP="00130732">
            <w:pPr>
              <w:jc w:val="center"/>
              <w:rPr>
                <w:sz w:val="20"/>
                <w:szCs w:val="20"/>
              </w:rPr>
            </w:pPr>
          </w:p>
        </w:tc>
        <w:tc>
          <w:tcPr>
            <w:tcW w:w="353" w:type="pct"/>
            <w:vMerge w:val="restart"/>
            <w:vAlign w:val="center"/>
          </w:tcPr>
          <w:p w:rsidR="007B233A" w:rsidRPr="004A41B4" w:rsidRDefault="007B233A" w:rsidP="00130732">
            <w:pPr>
              <w:jc w:val="center"/>
              <w:rPr>
                <w:sz w:val="20"/>
                <w:szCs w:val="20"/>
              </w:rPr>
            </w:pPr>
          </w:p>
        </w:tc>
        <w:tc>
          <w:tcPr>
            <w:tcW w:w="475" w:type="pct"/>
            <w:vMerge w:val="restart"/>
            <w:vAlign w:val="center"/>
          </w:tcPr>
          <w:p w:rsidR="007B233A" w:rsidRPr="004A41B4" w:rsidRDefault="007B233A" w:rsidP="00130732">
            <w:pPr>
              <w:jc w:val="center"/>
              <w:rPr>
                <w:sz w:val="20"/>
                <w:szCs w:val="20"/>
              </w:rPr>
            </w:pPr>
            <w:r w:rsidRPr="004A41B4">
              <w:rPr>
                <w:sz w:val="20"/>
                <w:szCs w:val="20"/>
              </w:rPr>
              <w:t>&lt;80%</w:t>
            </w:r>
          </w:p>
        </w:tc>
        <w:tc>
          <w:tcPr>
            <w:tcW w:w="356" w:type="pct"/>
            <w:vMerge w:val="restart"/>
            <w:vAlign w:val="center"/>
          </w:tcPr>
          <w:p w:rsidR="007B233A" w:rsidRPr="004A41B4" w:rsidRDefault="007B233A" w:rsidP="00130732">
            <w:pPr>
              <w:jc w:val="center"/>
              <w:rPr>
                <w:sz w:val="20"/>
                <w:szCs w:val="20"/>
              </w:rPr>
            </w:pPr>
          </w:p>
        </w:tc>
        <w:tc>
          <w:tcPr>
            <w:tcW w:w="549" w:type="pct"/>
            <w:vMerge w:val="restart"/>
            <w:vAlign w:val="center"/>
          </w:tcPr>
          <w:p w:rsidR="007B233A" w:rsidRPr="004A41B4" w:rsidRDefault="007B233A" w:rsidP="00130732">
            <w:pPr>
              <w:jc w:val="center"/>
              <w:rPr>
                <w:sz w:val="20"/>
                <w:szCs w:val="20"/>
              </w:rPr>
            </w:pPr>
            <w:r w:rsidRPr="004A41B4">
              <w:rPr>
                <w:sz w:val="20"/>
                <w:szCs w:val="20"/>
              </w:rPr>
              <w:t>&lt;5 Credits</w:t>
            </w:r>
          </w:p>
        </w:tc>
        <w:tc>
          <w:tcPr>
            <w:tcW w:w="869" w:type="pct"/>
            <w:vAlign w:val="center"/>
          </w:tcPr>
          <w:p w:rsidR="007B233A" w:rsidRPr="004A41B4" w:rsidRDefault="007B233A" w:rsidP="00130732">
            <w:pPr>
              <w:jc w:val="center"/>
              <w:rPr>
                <w:sz w:val="20"/>
                <w:szCs w:val="20"/>
              </w:rPr>
            </w:pPr>
            <w:r w:rsidRPr="004A41B4">
              <w:rPr>
                <w:sz w:val="20"/>
                <w:szCs w:val="20"/>
              </w:rPr>
              <w:t>Had a baby</w:t>
            </w:r>
          </w:p>
        </w:tc>
      </w:tr>
      <w:tr w:rsidR="007B233A" w:rsidRPr="004A41B4" w:rsidTr="009D5D50">
        <w:trPr>
          <w:trHeight w:val="539"/>
        </w:trPr>
        <w:tc>
          <w:tcPr>
            <w:tcW w:w="401" w:type="pct"/>
            <w:vMerge/>
            <w:textDirection w:val="btLr"/>
          </w:tcPr>
          <w:p w:rsidR="007B233A" w:rsidRPr="004A41B4" w:rsidRDefault="007B233A" w:rsidP="00130732">
            <w:pPr>
              <w:ind w:left="113" w:right="113"/>
              <w:rPr>
                <w:sz w:val="20"/>
                <w:szCs w:val="20"/>
              </w:rPr>
            </w:pPr>
          </w:p>
        </w:tc>
        <w:tc>
          <w:tcPr>
            <w:tcW w:w="784" w:type="pct"/>
            <w:vMerge/>
            <w:vAlign w:val="center"/>
          </w:tcPr>
          <w:p w:rsidR="007B233A" w:rsidRPr="004A41B4" w:rsidRDefault="007B233A" w:rsidP="00CC4795">
            <w:pPr>
              <w:rPr>
                <w:sz w:val="20"/>
                <w:szCs w:val="20"/>
              </w:rPr>
            </w:pPr>
          </w:p>
        </w:tc>
        <w:tc>
          <w:tcPr>
            <w:tcW w:w="469" w:type="pct"/>
            <w:vMerge/>
            <w:vAlign w:val="center"/>
          </w:tcPr>
          <w:p w:rsidR="007B233A" w:rsidRPr="004A41B4" w:rsidRDefault="007B233A" w:rsidP="00130732">
            <w:pPr>
              <w:jc w:val="center"/>
              <w:rPr>
                <w:sz w:val="20"/>
                <w:szCs w:val="20"/>
              </w:rPr>
            </w:pPr>
          </w:p>
        </w:tc>
        <w:tc>
          <w:tcPr>
            <w:tcW w:w="391" w:type="pct"/>
            <w:vMerge/>
            <w:vAlign w:val="center"/>
          </w:tcPr>
          <w:p w:rsidR="007B233A" w:rsidRPr="004A41B4" w:rsidRDefault="007B233A" w:rsidP="00130732">
            <w:pPr>
              <w:jc w:val="center"/>
              <w:rPr>
                <w:sz w:val="20"/>
                <w:szCs w:val="20"/>
              </w:rPr>
            </w:pPr>
          </w:p>
        </w:tc>
        <w:tc>
          <w:tcPr>
            <w:tcW w:w="354" w:type="pct"/>
            <w:vMerge/>
            <w:vAlign w:val="center"/>
          </w:tcPr>
          <w:p w:rsidR="007B233A" w:rsidRPr="004A41B4" w:rsidRDefault="007B233A" w:rsidP="00130732">
            <w:pPr>
              <w:jc w:val="center"/>
              <w:rPr>
                <w:sz w:val="20"/>
                <w:szCs w:val="20"/>
              </w:rPr>
            </w:pPr>
          </w:p>
        </w:tc>
        <w:tc>
          <w:tcPr>
            <w:tcW w:w="353" w:type="pct"/>
            <w:vMerge/>
            <w:vAlign w:val="center"/>
          </w:tcPr>
          <w:p w:rsidR="007B233A" w:rsidRPr="004A41B4" w:rsidRDefault="007B233A" w:rsidP="00130732">
            <w:pPr>
              <w:jc w:val="center"/>
              <w:rPr>
                <w:sz w:val="20"/>
                <w:szCs w:val="20"/>
              </w:rPr>
            </w:pPr>
          </w:p>
        </w:tc>
        <w:tc>
          <w:tcPr>
            <w:tcW w:w="475" w:type="pct"/>
            <w:vMerge/>
            <w:vAlign w:val="center"/>
          </w:tcPr>
          <w:p w:rsidR="007B233A" w:rsidRPr="004A41B4" w:rsidRDefault="007B233A" w:rsidP="00130732">
            <w:pPr>
              <w:jc w:val="center"/>
              <w:rPr>
                <w:sz w:val="20"/>
                <w:szCs w:val="20"/>
              </w:rPr>
            </w:pPr>
          </w:p>
        </w:tc>
        <w:tc>
          <w:tcPr>
            <w:tcW w:w="356" w:type="pct"/>
            <w:vMerge/>
            <w:vAlign w:val="center"/>
          </w:tcPr>
          <w:p w:rsidR="007B233A" w:rsidRPr="004A41B4" w:rsidRDefault="007B233A" w:rsidP="00130732">
            <w:pPr>
              <w:jc w:val="center"/>
              <w:rPr>
                <w:sz w:val="20"/>
                <w:szCs w:val="20"/>
              </w:rPr>
            </w:pPr>
          </w:p>
        </w:tc>
        <w:tc>
          <w:tcPr>
            <w:tcW w:w="549" w:type="pct"/>
            <w:vMerge/>
            <w:vAlign w:val="center"/>
          </w:tcPr>
          <w:p w:rsidR="007B233A" w:rsidRPr="004A41B4" w:rsidRDefault="007B233A" w:rsidP="00130732">
            <w:pPr>
              <w:jc w:val="center"/>
              <w:rPr>
                <w:sz w:val="20"/>
                <w:szCs w:val="20"/>
              </w:rPr>
            </w:pPr>
          </w:p>
        </w:tc>
        <w:tc>
          <w:tcPr>
            <w:tcW w:w="869" w:type="pct"/>
            <w:vAlign w:val="center"/>
          </w:tcPr>
          <w:p w:rsidR="007B233A" w:rsidRPr="004A41B4" w:rsidRDefault="007B233A" w:rsidP="00130732">
            <w:pPr>
              <w:jc w:val="center"/>
              <w:rPr>
                <w:sz w:val="20"/>
                <w:szCs w:val="20"/>
              </w:rPr>
            </w:pPr>
            <w:r w:rsidRPr="004A41B4">
              <w:rPr>
                <w:sz w:val="20"/>
                <w:szCs w:val="20"/>
              </w:rPr>
              <w:t>Placed in 24 hour juvenile justice program</w:t>
            </w:r>
          </w:p>
        </w:tc>
      </w:tr>
      <w:tr w:rsidR="007B233A" w:rsidRPr="004A41B4" w:rsidTr="009D5D50">
        <w:trPr>
          <w:trHeight w:val="169"/>
        </w:trPr>
        <w:tc>
          <w:tcPr>
            <w:tcW w:w="401" w:type="pct"/>
            <w:vMerge/>
            <w:textDirection w:val="btLr"/>
          </w:tcPr>
          <w:p w:rsidR="007B233A" w:rsidRPr="004A41B4" w:rsidRDefault="007B233A" w:rsidP="00130732">
            <w:pPr>
              <w:ind w:left="113" w:right="113"/>
              <w:rPr>
                <w:sz w:val="20"/>
                <w:szCs w:val="20"/>
              </w:rPr>
            </w:pPr>
          </w:p>
        </w:tc>
        <w:tc>
          <w:tcPr>
            <w:tcW w:w="784" w:type="pct"/>
            <w:vMerge/>
            <w:vAlign w:val="center"/>
          </w:tcPr>
          <w:p w:rsidR="007B233A" w:rsidRPr="004A41B4" w:rsidRDefault="007B233A" w:rsidP="00CC4795">
            <w:pPr>
              <w:rPr>
                <w:sz w:val="20"/>
                <w:szCs w:val="20"/>
              </w:rPr>
            </w:pPr>
          </w:p>
        </w:tc>
        <w:tc>
          <w:tcPr>
            <w:tcW w:w="469" w:type="pct"/>
            <w:vAlign w:val="center"/>
          </w:tcPr>
          <w:p w:rsidR="007B233A" w:rsidRPr="004A41B4" w:rsidRDefault="007B233A" w:rsidP="009D5D50">
            <w:pPr>
              <w:jc w:val="center"/>
              <w:rPr>
                <w:sz w:val="20"/>
                <w:szCs w:val="20"/>
              </w:rPr>
            </w:pPr>
            <w:r w:rsidRPr="004A41B4">
              <w:rPr>
                <w:sz w:val="20"/>
                <w:szCs w:val="20"/>
              </w:rPr>
              <w:t>11**</w:t>
            </w:r>
          </w:p>
        </w:tc>
        <w:tc>
          <w:tcPr>
            <w:tcW w:w="391" w:type="pct"/>
            <w:vAlign w:val="center"/>
          </w:tcPr>
          <w:p w:rsidR="007B233A" w:rsidRPr="004A41B4" w:rsidRDefault="007B233A" w:rsidP="00130732">
            <w:pPr>
              <w:jc w:val="center"/>
              <w:rPr>
                <w:sz w:val="20"/>
                <w:szCs w:val="20"/>
              </w:rPr>
            </w:pPr>
          </w:p>
        </w:tc>
        <w:tc>
          <w:tcPr>
            <w:tcW w:w="354" w:type="pct"/>
            <w:vAlign w:val="center"/>
          </w:tcPr>
          <w:p w:rsidR="007B233A" w:rsidRPr="004A41B4" w:rsidRDefault="007B233A" w:rsidP="00130732">
            <w:pPr>
              <w:jc w:val="center"/>
              <w:rPr>
                <w:sz w:val="20"/>
                <w:szCs w:val="20"/>
              </w:rPr>
            </w:pPr>
          </w:p>
        </w:tc>
        <w:tc>
          <w:tcPr>
            <w:tcW w:w="353" w:type="pct"/>
            <w:vAlign w:val="center"/>
          </w:tcPr>
          <w:p w:rsidR="007B233A" w:rsidRPr="004A41B4" w:rsidRDefault="007B233A" w:rsidP="00130732">
            <w:pPr>
              <w:jc w:val="center"/>
              <w:rPr>
                <w:sz w:val="20"/>
                <w:szCs w:val="20"/>
              </w:rPr>
            </w:pPr>
          </w:p>
        </w:tc>
        <w:tc>
          <w:tcPr>
            <w:tcW w:w="475" w:type="pct"/>
            <w:vAlign w:val="center"/>
          </w:tcPr>
          <w:p w:rsidR="007B233A" w:rsidRPr="004A41B4" w:rsidRDefault="007B233A" w:rsidP="00130732">
            <w:pPr>
              <w:jc w:val="center"/>
              <w:rPr>
                <w:sz w:val="20"/>
                <w:szCs w:val="20"/>
              </w:rPr>
            </w:pPr>
            <w:r w:rsidRPr="004A41B4">
              <w:rPr>
                <w:sz w:val="20"/>
                <w:szCs w:val="20"/>
              </w:rPr>
              <w:t>&lt;60%</w:t>
            </w:r>
          </w:p>
        </w:tc>
        <w:tc>
          <w:tcPr>
            <w:tcW w:w="356" w:type="pct"/>
            <w:vAlign w:val="center"/>
          </w:tcPr>
          <w:p w:rsidR="007B233A" w:rsidRPr="004A41B4" w:rsidRDefault="007B233A" w:rsidP="00130732">
            <w:pPr>
              <w:jc w:val="center"/>
              <w:rPr>
                <w:sz w:val="20"/>
                <w:szCs w:val="20"/>
              </w:rPr>
            </w:pPr>
          </w:p>
        </w:tc>
        <w:tc>
          <w:tcPr>
            <w:tcW w:w="549" w:type="pct"/>
            <w:vMerge/>
            <w:vAlign w:val="center"/>
          </w:tcPr>
          <w:p w:rsidR="007B233A" w:rsidRPr="004A41B4" w:rsidRDefault="007B233A" w:rsidP="00130732">
            <w:pPr>
              <w:jc w:val="center"/>
              <w:rPr>
                <w:sz w:val="20"/>
                <w:szCs w:val="20"/>
              </w:rPr>
            </w:pPr>
          </w:p>
        </w:tc>
        <w:tc>
          <w:tcPr>
            <w:tcW w:w="869" w:type="pct"/>
            <w:vAlign w:val="center"/>
          </w:tcPr>
          <w:p w:rsidR="007B233A" w:rsidRPr="004A41B4" w:rsidRDefault="007B233A" w:rsidP="00130732">
            <w:pPr>
              <w:jc w:val="center"/>
              <w:rPr>
                <w:sz w:val="20"/>
                <w:szCs w:val="20"/>
              </w:rPr>
            </w:pPr>
          </w:p>
        </w:tc>
      </w:tr>
      <w:tr w:rsidR="007B233A" w:rsidRPr="004A41B4" w:rsidTr="009D5D50">
        <w:trPr>
          <w:trHeight w:val="169"/>
        </w:trPr>
        <w:tc>
          <w:tcPr>
            <w:tcW w:w="401" w:type="pct"/>
            <w:vMerge/>
            <w:textDirection w:val="btLr"/>
          </w:tcPr>
          <w:p w:rsidR="007B233A" w:rsidRPr="004A41B4" w:rsidRDefault="007B233A" w:rsidP="00130732">
            <w:pPr>
              <w:ind w:left="113" w:right="113"/>
              <w:rPr>
                <w:sz w:val="20"/>
                <w:szCs w:val="20"/>
              </w:rPr>
            </w:pPr>
          </w:p>
        </w:tc>
        <w:tc>
          <w:tcPr>
            <w:tcW w:w="784" w:type="pct"/>
            <w:vMerge/>
            <w:vAlign w:val="center"/>
          </w:tcPr>
          <w:p w:rsidR="007B233A" w:rsidRPr="004A41B4" w:rsidRDefault="007B233A" w:rsidP="00CC4795">
            <w:pPr>
              <w:rPr>
                <w:sz w:val="20"/>
                <w:szCs w:val="20"/>
              </w:rPr>
            </w:pPr>
          </w:p>
        </w:tc>
        <w:tc>
          <w:tcPr>
            <w:tcW w:w="469" w:type="pct"/>
            <w:vAlign w:val="center"/>
          </w:tcPr>
          <w:p w:rsidR="007B233A" w:rsidRPr="004A41B4" w:rsidRDefault="007B233A" w:rsidP="00130732">
            <w:pPr>
              <w:jc w:val="center"/>
              <w:rPr>
                <w:sz w:val="20"/>
                <w:szCs w:val="20"/>
              </w:rPr>
            </w:pPr>
            <w:r w:rsidRPr="004A41B4">
              <w:rPr>
                <w:sz w:val="20"/>
                <w:szCs w:val="20"/>
              </w:rPr>
              <w:t>12**</w:t>
            </w:r>
          </w:p>
        </w:tc>
        <w:tc>
          <w:tcPr>
            <w:tcW w:w="391" w:type="pct"/>
            <w:vAlign w:val="center"/>
          </w:tcPr>
          <w:p w:rsidR="007B233A" w:rsidRPr="004A41B4" w:rsidRDefault="007B233A" w:rsidP="00130732">
            <w:pPr>
              <w:jc w:val="center"/>
              <w:rPr>
                <w:sz w:val="20"/>
                <w:szCs w:val="20"/>
              </w:rPr>
            </w:pPr>
          </w:p>
        </w:tc>
        <w:tc>
          <w:tcPr>
            <w:tcW w:w="354" w:type="pct"/>
            <w:vAlign w:val="center"/>
          </w:tcPr>
          <w:p w:rsidR="007B233A" w:rsidRPr="004A41B4" w:rsidRDefault="007B233A" w:rsidP="00130732">
            <w:pPr>
              <w:jc w:val="center"/>
              <w:rPr>
                <w:sz w:val="20"/>
                <w:szCs w:val="20"/>
              </w:rPr>
            </w:pPr>
          </w:p>
        </w:tc>
        <w:tc>
          <w:tcPr>
            <w:tcW w:w="353" w:type="pct"/>
            <w:vAlign w:val="center"/>
          </w:tcPr>
          <w:p w:rsidR="007B233A" w:rsidRPr="004A41B4" w:rsidRDefault="007B233A" w:rsidP="00130732">
            <w:pPr>
              <w:jc w:val="center"/>
              <w:rPr>
                <w:sz w:val="20"/>
                <w:szCs w:val="20"/>
              </w:rPr>
            </w:pPr>
          </w:p>
        </w:tc>
        <w:tc>
          <w:tcPr>
            <w:tcW w:w="475" w:type="pct"/>
            <w:vAlign w:val="center"/>
          </w:tcPr>
          <w:p w:rsidR="007B233A" w:rsidRPr="004A41B4" w:rsidRDefault="007B233A" w:rsidP="00130732">
            <w:pPr>
              <w:jc w:val="center"/>
              <w:rPr>
                <w:sz w:val="20"/>
                <w:szCs w:val="20"/>
              </w:rPr>
            </w:pPr>
            <w:r w:rsidRPr="004A41B4">
              <w:rPr>
                <w:sz w:val="20"/>
                <w:szCs w:val="20"/>
              </w:rPr>
              <w:t>&lt;30%</w:t>
            </w:r>
          </w:p>
        </w:tc>
        <w:tc>
          <w:tcPr>
            <w:tcW w:w="356" w:type="pct"/>
            <w:vAlign w:val="center"/>
          </w:tcPr>
          <w:p w:rsidR="007B233A" w:rsidRPr="004A41B4" w:rsidRDefault="007B233A" w:rsidP="00130732">
            <w:pPr>
              <w:jc w:val="center"/>
              <w:rPr>
                <w:sz w:val="20"/>
                <w:szCs w:val="20"/>
              </w:rPr>
            </w:pPr>
          </w:p>
        </w:tc>
        <w:tc>
          <w:tcPr>
            <w:tcW w:w="549" w:type="pct"/>
            <w:vAlign w:val="center"/>
          </w:tcPr>
          <w:p w:rsidR="007B233A" w:rsidRPr="004A41B4" w:rsidRDefault="007B233A" w:rsidP="00130732">
            <w:pPr>
              <w:jc w:val="center"/>
              <w:rPr>
                <w:sz w:val="20"/>
                <w:szCs w:val="20"/>
              </w:rPr>
            </w:pPr>
            <w:r w:rsidRPr="004A41B4">
              <w:rPr>
                <w:sz w:val="20"/>
                <w:szCs w:val="20"/>
              </w:rPr>
              <w:t>&lt;3 Credits</w:t>
            </w:r>
          </w:p>
        </w:tc>
        <w:tc>
          <w:tcPr>
            <w:tcW w:w="869" w:type="pct"/>
            <w:vAlign w:val="center"/>
          </w:tcPr>
          <w:p w:rsidR="007B233A" w:rsidRPr="004A41B4" w:rsidRDefault="007B233A" w:rsidP="00130732">
            <w:pPr>
              <w:jc w:val="center"/>
              <w:rPr>
                <w:sz w:val="20"/>
                <w:szCs w:val="20"/>
              </w:rPr>
            </w:pPr>
          </w:p>
        </w:tc>
      </w:tr>
      <w:tr w:rsidR="007B233A" w:rsidRPr="004A41B4" w:rsidTr="009D5D50">
        <w:trPr>
          <w:cantSplit/>
          <w:trHeight w:val="1134"/>
        </w:trPr>
        <w:tc>
          <w:tcPr>
            <w:tcW w:w="401" w:type="pct"/>
            <w:textDirection w:val="btLr"/>
          </w:tcPr>
          <w:p w:rsidR="007B233A" w:rsidRPr="004A41B4" w:rsidRDefault="007B233A" w:rsidP="00130732">
            <w:pPr>
              <w:ind w:left="113" w:right="113"/>
              <w:rPr>
                <w:sz w:val="20"/>
                <w:szCs w:val="20"/>
              </w:rPr>
            </w:pPr>
            <w:proofErr w:type="spellStart"/>
            <w:r w:rsidRPr="004A41B4">
              <w:rPr>
                <w:sz w:val="20"/>
                <w:szCs w:val="20"/>
              </w:rPr>
              <w:t>Balfanz</w:t>
            </w:r>
            <w:proofErr w:type="spellEnd"/>
            <w:r w:rsidRPr="004A41B4">
              <w:rPr>
                <w:sz w:val="20"/>
                <w:szCs w:val="20"/>
              </w:rPr>
              <w:t xml:space="preserve"> et al. (2010)</w:t>
            </w:r>
          </w:p>
        </w:tc>
        <w:tc>
          <w:tcPr>
            <w:tcW w:w="784" w:type="pct"/>
            <w:vAlign w:val="center"/>
          </w:tcPr>
          <w:p w:rsidR="007B233A" w:rsidRPr="004A41B4" w:rsidRDefault="007B233A" w:rsidP="00CC4795">
            <w:pPr>
              <w:rPr>
                <w:sz w:val="20"/>
                <w:szCs w:val="20"/>
              </w:rPr>
            </w:pPr>
            <w:r w:rsidRPr="004A41B4">
              <w:rPr>
                <w:sz w:val="20"/>
                <w:szCs w:val="20"/>
              </w:rPr>
              <w:t>Not clearly defined</w:t>
            </w:r>
          </w:p>
        </w:tc>
        <w:tc>
          <w:tcPr>
            <w:tcW w:w="469" w:type="pct"/>
            <w:vAlign w:val="center"/>
          </w:tcPr>
          <w:p w:rsidR="007B233A" w:rsidRPr="004A41B4" w:rsidRDefault="007B233A" w:rsidP="00130732">
            <w:pPr>
              <w:jc w:val="center"/>
              <w:rPr>
                <w:sz w:val="20"/>
                <w:szCs w:val="20"/>
              </w:rPr>
            </w:pPr>
            <w:r w:rsidRPr="004A41B4">
              <w:rPr>
                <w:sz w:val="20"/>
                <w:szCs w:val="20"/>
              </w:rPr>
              <w:t>9-12</w:t>
            </w:r>
          </w:p>
        </w:tc>
        <w:tc>
          <w:tcPr>
            <w:tcW w:w="391" w:type="pct"/>
            <w:vAlign w:val="center"/>
          </w:tcPr>
          <w:p w:rsidR="007B233A" w:rsidRPr="004A41B4" w:rsidRDefault="007B233A" w:rsidP="00130732">
            <w:pPr>
              <w:jc w:val="center"/>
              <w:rPr>
                <w:sz w:val="20"/>
                <w:szCs w:val="20"/>
              </w:rPr>
            </w:pPr>
            <w:r w:rsidRPr="004A41B4">
              <w:rPr>
                <w:sz w:val="20"/>
                <w:szCs w:val="20"/>
              </w:rPr>
              <w:t>≥2</w:t>
            </w:r>
            <w:r w:rsidR="00586DD2">
              <w:rPr>
                <w:sz w:val="20"/>
                <w:szCs w:val="20"/>
              </w:rPr>
              <w:t xml:space="preserve"> </w:t>
            </w:r>
          </w:p>
        </w:tc>
        <w:tc>
          <w:tcPr>
            <w:tcW w:w="354" w:type="pct"/>
            <w:vAlign w:val="center"/>
          </w:tcPr>
          <w:p w:rsidR="007B233A" w:rsidRPr="004A41B4" w:rsidRDefault="007B233A" w:rsidP="00130732">
            <w:pPr>
              <w:jc w:val="center"/>
              <w:rPr>
                <w:sz w:val="20"/>
                <w:szCs w:val="20"/>
              </w:rPr>
            </w:pPr>
          </w:p>
        </w:tc>
        <w:tc>
          <w:tcPr>
            <w:tcW w:w="353" w:type="pct"/>
            <w:vAlign w:val="center"/>
          </w:tcPr>
          <w:p w:rsidR="007B233A" w:rsidRPr="004A41B4" w:rsidRDefault="007B233A" w:rsidP="00130732">
            <w:pPr>
              <w:jc w:val="center"/>
              <w:rPr>
                <w:sz w:val="20"/>
                <w:szCs w:val="20"/>
              </w:rPr>
            </w:pPr>
          </w:p>
        </w:tc>
        <w:tc>
          <w:tcPr>
            <w:tcW w:w="475" w:type="pct"/>
            <w:vAlign w:val="center"/>
          </w:tcPr>
          <w:p w:rsidR="007B233A" w:rsidRPr="004A41B4" w:rsidRDefault="007B233A" w:rsidP="00130732">
            <w:pPr>
              <w:jc w:val="center"/>
              <w:rPr>
                <w:sz w:val="20"/>
                <w:szCs w:val="20"/>
              </w:rPr>
            </w:pPr>
            <w:r w:rsidRPr="004A41B4">
              <w:rPr>
                <w:sz w:val="20"/>
                <w:szCs w:val="20"/>
              </w:rPr>
              <w:t>&lt;85%</w:t>
            </w:r>
          </w:p>
        </w:tc>
        <w:tc>
          <w:tcPr>
            <w:tcW w:w="356" w:type="pct"/>
            <w:vAlign w:val="center"/>
          </w:tcPr>
          <w:p w:rsidR="007B233A" w:rsidRPr="004A41B4" w:rsidRDefault="007B233A" w:rsidP="00130732">
            <w:pPr>
              <w:jc w:val="center"/>
              <w:rPr>
                <w:sz w:val="20"/>
                <w:szCs w:val="20"/>
              </w:rPr>
            </w:pPr>
            <w:r w:rsidRPr="004A41B4">
              <w:rPr>
                <w:sz w:val="20"/>
                <w:szCs w:val="20"/>
              </w:rPr>
              <w:t>≥2</w:t>
            </w:r>
          </w:p>
        </w:tc>
        <w:tc>
          <w:tcPr>
            <w:tcW w:w="549" w:type="pct"/>
            <w:vAlign w:val="center"/>
          </w:tcPr>
          <w:p w:rsidR="007B233A" w:rsidRPr="004A41B4" w:rsidRDefault="007B233A" w:rsidP="00130732">
            <w:pPr>
              <w:jc w:val="center"/>
              <w:rPr>
                <w:sz w:val="20"/>
                <w:szCs w:val="20"/>
              </w:rPr>
            </w:pPr>
          </w:p>
        </w:tc>
        <w:tc>
          <w:tcPr>
            <w:tcW w:w="869" w:type="pct"/>
            <w:vAlign w:val="center"/>
          </w:tcPr>
          <w:p w:rsidR="007B233A" w:rsidRPr="004A41B4" w:rsidRDefault="007B233A" w:rsidP="00130732">
            <w:pPr>
              <w:jc w:val="center"/>
              <w:rPr>
                <w:sz w:val="20"/>
                <w:szCs w:val="20"/>
              </w:rPr>
            </w:pPr>
          </w:p>
        </w:tc>
      </w:tr>
      <w:tr w:rsidR="009D5D50" w:rsidRPr="004A41B4" w:rsidTr="009D5D50">
        <w:trPr>
          <w:cantSplit/>
          <w:trHeight w:val="658"/>
        </w:trPr>
        <w:tc>
          <w:tcPr>
            <w:tcW w:w="401" w:type="pct"/>
            <w:vMerge w:val="restart"/>
            <w:textDirection w:val="btLr"/>
          </w:tcPr>
          <w:p w:rsidR="009D5D50" w:rsidRPr="004A41B4" w:rsidRDefault="009D5D50" w:rsidP="00130732">
            <w:pPr>
              <w:ind w:left="113" w:right="113"/>
              <w:rPr>
                <w:sz w:val="20"/>
                <w:szCs w:val="20"/>
              </w:rPr>
            </w:pPr>
            <w:r w:rsidRPr="004A41B4">
              <w:rPr>
                <w:sz w:val="20"/>
                <w:szCs w:val="20"/>
              </w:rPr>
              <w:t>National High School Center Early Warning System Tool 2.0</w:t>
            </w:r>
          </w:p>
        </w:tc>
        <w:tc>
          <w:tcPr>
            <w:tcW w:w="784" w:type="pct"/>
            <w:vMerge w:val="restart"/>
            <w:vAlign w:val="center"/>
          </w:tcPr>
          <w:p w:rsidR="009D5D50" w:rsidRPr="004A41B4" w:rsidRDefault="009D5D50" w:rsidP="00CC4795">
            <w:pPr>
              <w:rPr>
                <w:sz w:val="20"/>
                <w:szCs w:val="20"/>
              </w:rPr>
            </w:pPr>
            <w:r w:rsidRPr="004A41B4">
              <w:rPr>
                <w:sz w:val="20"/>
                <w:szCs w:val="20"/>
              </w:rPr>
              <w:t>Not clearly defined</w:t>
            </w:r>
          </w:p>
        </w:tc>
        <w:tc>
          <w:tcPr>
            <w:tcW w:w="469" w:type="pct"/>
            <w:vMerge w:val="restart"/>
            <w:vAlign w:val="center"/>
          </w:tcPr>
          <w:p w:rsidR="009D5D50" w:rsidRPr="004A41B4" w:rsidRDefault="009D5D50" w:rsidP="00130732">
            <w:pPr>
              <w:jc w:val="center"/>
              <w:rPr>
                <w:sz w:val="20"/>
                <w:szCs w:val="20"/>
              </w:rPr>
            </w:pPr>
            <w:r>
              <w:rPr>
                <w:sz w:val="20"/>
                <w:szCs w:val="20"/>
              </w:rPr>
              <w:t>N/A</w:t>
            </w:r>
          </w:p>
        </w:tc>
        <w:tc>
          <w:tcPr>
            <w:tcW w:w="391" w:type="pct"/>
            <w:vMerge w:val="restart"/>
            <w:vAlign w:val="center"/>
          </w:tcPr>
          <w:p w:rsidR="009D5D50" w:rsidRPr="004A41B4" w:rsidRDefault="009D5D50" w:rsidP="00BB1F96">
            <w:pPr>
              <w:jc w:val="center"/>
              <w:rPr>
                <w:sz w:val="20"/>
                <w:szCs w:val="20"/>
              </w:rPr>
            </w:pPr>
            <w:r w:rsidRPr="004A41B4">
              <w:rPr>
                <w:sz w:val="20"/>
                <w:szCs w:val="20"/>
              </w:rPr>
              <w:t>1 or more per grading period</w:t>
            </w:r>
            <w:r w:rsidR="00586DD2">
              <w:rPr>
                <w:sz w:val="20"/>
                <w:szCs w:val="20"/>
              </w:rPr>
              <w:t xml:space="preserve"> </w:t>
            </w:r>
          </w:p>
        </w:tc>
        <w:tc>
          <w:tcPr>
            <w:tcW w:w="354" w:type="pct"/>
            <w:vMerge w:val="restart"/>
            <w:vAlign w:val="center"/>
          </w:tcPr>
          <w:p w:rsidR="009D5D50" w:rsidRPr="004A41B4" w:rsidRDefault="009D5D50" w:rsidP="00130732">
            <w:pPr>
              <w:jc w:val="center"/>
              <w:rPr>
                <w:sz w:val="20"/>
                <w:szCs w:val="20"/>
              </w:rPr>
            </w:pPr>
          </w:p>
        </w:tc>
        <w:tc>
          <w:tcPr>
            <w:tcW w:w="353" w:type="pct"/>
            <w:vMerge w:val="restart"/>
            <w:vAlign w:val="center"/>
          </w:tcPr>
          <w:p w:rsidR="009D5D50" w:rsidRPr="004A41B4" w:rsidRDefault="009D5D50" w:rsidP="00130732">
            <w:pPr>
              <w:jc w:val="center"/>
              <w:rPr>
                <w:sz w:val="20"/>
                <w:szCs w:val="20"/>
              </w:rPr>
            </w:pPr>
          </w:p>
        </w:tc>
        <w:tc>
          <w:tcPr>
            <w:tcW w:w="475" w:type="pct"/>
            <w:vMerge w:val="restart"/>
            <w:vAlign w:val="center"/>
          </w:tcPr>
          <w:p w:rsidR="009D5D50" w:rsidRPr="004A41B4" w:rsidRDefault="009D5D50" w:rsidP="009D5D50">
            <w:pPr>
              <w:jc w:val="center"/>
              <w:rPr>
                <w:sz w:val="20"/>
                <w:szCs w:val="20"/>
              </w:rPr>
            </w:pPr>
          </w:p>
        </w:tc>
        <w:tc>
          <w:tcPr>
            <w:tcW w:w="356" w:type="pct"/>
            <w:vMerge w:val="restart"/>
            <w:vAlign w:val="center"/>
          </w:tcPr>
          <w:p w:rsidR="009D5D50" w:rsidRPr="004A41B4" w:rsidRDefault="009D5D50" w:rsidP="00130732">
            <w:pPr>
              <w:jc w:val="center"/>
              <w:rPr>
                <w:sz w:val="20"/>
                <w:szCs w:val="20"/>
              </w:rPr>
            </w:pPr>
          </w:p>
        </w:tc>
        <w:tc>
          <w:tcPr>
            <w:tcW w:w="549" w:type="pct"/>
            <w:vMerge w:val="restart"/>
            <w:vAlign w:val="center"/>
          </w:tcPr>
          <w:p w:rsidR="009D5D50" w:rsidRPr="004A41B4" w:rsidRDefault="009D5D50" w:rsidP="00130732">
            <w:pPr>
              <w:jc w:val="center"/>
              <w:rPr>
                <w:sz w:val="20"/>
                <w:szCs w:val="20"/>
              </w:rPr>
            </w:pPr>
            <w:r w:rsidRPr="004A41B4">
              <w:rPr>
                <w:sz w:val="20"/>
                <w:szCs w:val="20"/>
              </w:rPr>
              <w:t>Less than 1/3 the total number of course credits student should have at their grade level.</w:t>
            </w:r>
          </w:p>
        </w:tc>
        <w:tc>
          <w:tcPr>
            <w:tcW w:w="869" w:type="pct"/>
            <w:vAlign w:val="center"/>
          </w:tcPr>
          <w:p w:rsidR="009D5D50" w:rsidRPr="004A41B4" w:rsidRDefault="009D5D50" w:rsidP="00130732">
            <w:pPr>
              <w:jc w:val="center"/>
              <w:rPr>
                <w:sz w:val="20"/>
                <w:szCs w:val="20"/>
              </w:rPr>
            </w:pPr>
            <w:r w:rsidRPr="004A41B4">
              <w:rPr>
                <w:sz w:val="20"/>
                <w:szCs w:val="20"/>
              </w:rPr>
              <w:t>Less than ½ the available GPA</w:t>
            </w:r>
          </w:p>
          <w:p w:rsidR="009D5D50" w:rsidRPr="004A41B4" w:rsidRDefault="009D5D50" w:rsidP="00130732">
            <w:pPr>
              <w:rPr>
                <w:sz w:val="20"/>
                <w:szCs w:val="20"/>
              </w:rPr>
            </w:pPr>
          </w:p>
        </w:tc>
      </w:tr>
      <w:tr w:rsidR="009D5D50" w:rsidRPr="004A41B4" w:rsidTr="009D5D50">
        <w:trPr>
          <w:cantSplit/>
          <w:trHeight w:val="657"/>
        </w:trPr>
        <w:tc>
          <w:tcPr>
            <w:tcW w:w="401" w:type="pct"/>
            <w:vMerge/>
            <w:textDirection w:val="btLr"/>
          </w:tcPr>
          <w:p w:rsidR="009D5D50" w:rsidRPr="004A41B4" w:rsidRDefault="009D5D50" w:rsidP="00130732">
            <w:pPr>
              <w:ind w:left="113" w:right="113"/>
              <w:rPr>
                <w:sz w:val="20"/>
                <w:szCs w:val="20"/>
              </w:rPr>
            </w:pPr>
          </w:p>
        </w:tc>
        <w:tc>
          <w:tcPr>
            <w:tcW w:w="784" w:type="pct"/>
            <w:vMerge/>
            <w:vAlign w:val="center"/>
          </w:tcPr>
          <w:p w:rsidR="009D5D50" w:rsidRPr="004A41B4" w:rsidRDefault="009D5D50" w:rsidP="00CC4795">
            <w:pPr>
              <w:rPr>
                <w:sz w:val="20"/>
                <w:szCs w:val="20"/>
              </w:rPr>
            </w:pPr>
          </w:p>
        </w:tc>
        <w:tc>
          <w:tcPr>
            <w:tcW w:w="469" w:type="pct"/>
            <w:vMerge/>
            <w:vAlign w:val="center"/>
          </w:tcPr>
          <w:p w:rsidR="009D5D50" w:rsidRDefault="009D5D50" w:rsidP="00130732">
            <w:pPr>
              <w:jc w:val="center"/>
              <w:rPr>
                <w:sz w:val="20"/>
                <w:szCs w:val="20"/>
              </w:rPr>
            </w:pPr>
          </w:p>
        </w:tc>
        <w:tc>
          <w:tcPr>
            <w:tcW w:w="391" w:type="pct"/>
            <w:vMerge/>
            <w:vAlign w:val="center"/>
          </w:tcPr>
          <w:p w:rsidR="009D5D50" w:rsidRPr="004A41B4" w:rsidRDefault="009D5D50" w:rsidP="00130732">
            <w:pPr>
              <w:jc w:val="center"/>
              <w:rPr>
                <w:sz w:val="20"/>
                <w:szCs w:val="20"/>
              </w:rPr>
            </w:pPr>
          </w:p>
        </w:tc>
        <w:tc>
          <w:tcPr>
            <w:tcW w:w="354" w:type="pct"/>
            <w:vMerge/>
            <w:vAlign w:val="center"/>
          </w:tcPr>
          <w:p w:rsidR="009D5D50" w:rsidRPr="004A41B4" w:rsidRDefault="009D5D50" w:rsidP="00130732">
            <w:pPr>
              <w:jc w:val="center"/>
              <w:rPr>
                <w:sz w:val="20"/>
                <w:szCs w:val="20"/>
              </w:rPr>
            </w:pPr>
          </w:p>
        </w:tc>
        <w:tc>
          <w:tcPr>
            <w:tcW w:w="353" w:type="pct"/>
            <w:vMerge/>
            <w:vAlign w:val="center"/>
          </w:tcPr>
          <w:p w:rsidR="009D5D50" w:rsidRPr="004A41B4" w:rsidRDefault="009D5D50" w:rsidP="00130732">
            <w:pPr>
              <w:jc w:val="center"/>
              <w:rPr>
                <w:sz w:val="20"/>
                <w:szCs w:val="20"/>
              </w:rPr>
            </w:pPr>
          </w:p>
        </w:tc>
        <w:tc>
          <w:tcPr>
            <w:tcW w:w="475" w:type="pct"/>
            <w:vMerge/>
            <w:vAlign w:val="center"/>
          </w:tcPr>
          <w:p w:rsidR="009D5D50" w:rsidRDefault="009D5D50" w:rsidP="009D5D50">
            <w:pPr>
              <w:jc w:val="center"/>
              <w:rPr>
                <w:sz w:val="20"/>
                <w:szCs w:val="20"/>
              </w:rPr>
            </w:pPr>
          </w:p>
        </w:tc>
        <w:tc>
          <w:tcPr>
            <w:tcW w:w="356" w:type="pct"/>
            <w:vMerge/>
            <w:vAlign w:val="center"/>
          </w:tcPr>
          <w:p w:rsidR="009D5D50" w:rsidRPr="004A41B4" w:rsidRDefault="009D5D50" w:rsidP="00130732">
            <w:pPr>
              <w:jc w:val="center"/>
              <w:rPr>
                <w:sz w:val="20"/>
                <w:szCs w:val="20"/>
              </w:rPr>
            </w:pPr>
          </w:p>
        </w:tc>
        <w:tc>
          <w:tcPr>
            <w:tcW w:w="549" w:type="pct"/>
            <w:vMerge/>
            <w:vAlign w:val="center"/>
          </w:tcPr>
          <w:p w:rsidR="009D5D50" w:rsidRPr="004A41B4" w:rsidRDefault="009D5D50" w:rsidP="00130732">
            <w:pPr>
              <w:jc w:val="center"/>
              <w:rPr>
                <w:sz w:val="20"/>
                <w:szCs w:val="20"/>
              </w:rPr>
            </w:pPr>
          </w:p>
        </w:tc>
        <w:tc>
          <w:tcPr>
            <w:tcW w:w="869" w:type="pct"/>
            <w:vAlign w:val="center"/>
          </w:tcPr>
          <w:p w:rsidR="009D5D50" w:rsidRPr="004A41B4" w:rsidRDefault="00586DD2" w:rsidP="00130732">
            <w:pPr>
              <w:jc w:val="center"/>
              <w:rPr>
                <w:sz w:val="20"/>
                <w:szCs w:val="20"/>
              </w:rPr>
            </w:pPr>
            <w:r>
              <w:rPr>
                <w:sz w:val="20"/>
                <w:szCs w:val="20"/>
              </w:rPr>
              <w:t xml:space="preserve">Missed </w:t>
            </w:r>
            <w:r w:rsidR="009D5D50">
              <w:rPr>
                <w:sz w:val="20"/>
                <w:szCs w:val="20"/>
              </w:rPr>
              <w:t>&gt;10%</w:t>
            </w:r>
            <w:r w:rsidR="009D5D50" w:rsidRPr="004A41B4">
              <w:rPr>
                <w:sz w:val="20"/>
                <w:szCs w:val="20"/>
              </w:rPr>
              <w:t xml:space="preserve"> of instructional time</w:t>
            </w:r>
          </w:p>
        </w:tc>
      </w:tr>
    </w:tbl>
    <w:p w:rsidR="004A41B4" w:rsidRDefault="00CC4795">
      <w:pPr>
        <w:rPr>
          <w:i/>
          <w:sz w:val="20"/>
          <w:szCs w:val="20"/>
        </w:rPr>
        <w:sectPr w:rsidR="004A41B4" w:rsidSect="00CC4795">
          <w:pgSz w:w="15840" w:h="12240" w:orient="landscape"/>
          <w:pgMar w:top="1440" w:right="1440" w:bottom="1440" w:left="1440" w:header="720" w:footer="720" w:gutter="0"/>
          <w:cols w:space="720"/>
          <w:docGrid w:linePitch="360"/>
        </w:sectPr>
      </w:pPr>
      <w:r w:rsidRPr="00CC4795">
        <w:rPr>
          <w:i/>
          <w:sz w:val="20"/>
          <w:szCs w:val="20"/>
        </w:rPr>
        <w:t xml:space="preserve">* </w:t>
      </w:r>
      <w:proofErr w:type="spellStart"/>
      <w:r w:rsidRPr="00CC4795">
        <w:rPr>
          <w:i/>
          <w:sz w:val="20"/>
          <w:szCs w:val="20"/>
        </w:rPr>
        <w:t>Nelid</w:t>
      </w:r>
      <w:proofErr w:type="spellEnd"/>
      <w:r w:rsidRPr="00CC4795">
        <w:rPr>
          <w:i/>
          <w:sz w:val="20"/>
          <w:szCs w:val="20"/>
        </w:rPr>
        <w:t xml:space="preserve"> and </w:t>
      </w:r>
      <w:proofErr w:type="spellStart"/>
      <w:r w:rsidRPr="00CC4795">
        <w:rPr>
          <w:i/>
          <w:sz w:val="20"/>
          <w:szCs w:val="20"/>
        </w:rPr>
        <w:t>Balfanz</w:t>
      </w:r>
      <w:proofErr w:type="spellEnd"/>
      <w:r w:rsidRPr="00CC4795">
        <w:rPr>
          <w:i/>
          <w:sz w:val="20"/>
          <w:szCs w:val="20"/>
        </w:rPr>
        <w:t xml:space="preserve"> (2006) based their ninth grade predictions on 8</w:t>
      </w:r>
      <w:r w:rsidRPr="00CC4795">
        <w:rPr>
          <w:i/>
          <w:sz w:val="20"/>
          <w:szCs w:val="20"/>
          <w:vertAlign w:val="superscript"/>
        </w:rPr>
        <w:t>th</w:t>
      </w:r>
      <w:r w:rsidRPr="00CC4795">
        <w:rPr>
          <w:i/>
          <w:sz w:val="20"/>
          <w:szCs w:val="20"/>
        </w:rPr>
        <w:t xml:space="preserve"> grade student information</w:t>
      </w:r>
      <w:proofErr w:type="gramStart"/>
      <w:r w:rsidRPr="00CC4795">
        <w:rPr>
          <w:i/>
          <w:sz w:val="20"/>
          <w:szCs w:val="20"/>
        </w:rPr>
        <w:t>.*</w:t>
      </w:r>
      <w:proofErr w:type="gramEnd"/>
      <w:r w:rsidRPr="00CC4795">
        <w:rPr>
          <w:i/>
          <w:sz w:val="20"/>
          <w:szCs w:val="20"/>
        </w:rPr>
        <w:t xml:space="preserve">* </w:t>
      </w:r>
      <w:proofErr w:type="spellStart"/>
      <w:r w:rsidRPr="00CC4795">
        <w:rPr>
          <w:i/>
          <w:sz w:val="20"/>
          <w:szCs w:val="20"/>
        </w:rPr>
        <w:t>Nelid</w:t>
      </w:r>
      <w:proofErr w:type="spellEnd"/>
      <w:r w:rsidRPr="00CC4795">
        <w:rPr>
          <w:i/>
          <w:sz w:val="20"/>
          <w:szCs w:val="20"/>
        </w:rPr>
        <w:t xml:space="preserve"> and </w:t>
      </w:r>
      <w:proofErr w:type="spellStart"/>
      <w:r w:rsidRPr="00CC4795">
        <w:rPr>
          <w:i/>
          <w:sz w:val="20"/>
          <w:szCs w:val="20"/>
        </w:rPr>
        <w:t>Balfanz</w:t>
      </w:r>
      <w:proofErr w:type="spellEnd"/>
      <w:r w:rsidRPr="00CC4795">
        <w:rPr>
          <w:i/>
          <w:sz w:val="20"/>
          <w:szCs w:val="20"/>
        </w:rPr>
        <w:t xml:space="preserve"> (2006) based 10-12</w:t>
      </w:r>
      <w:r w:rsidRPr="00CC4795">
        <w:rPr>
          <w:i/>
          <w:sz w:val="20"/>
          <w:szCs w:val="20"/>
          <w:vertAlign w:val="superscript"/>
        </w:rPr>
        <w:t>th</w:t>
      </w:r>
      <w:r w:rsidRPr="00CC4795">
        <w:rPr>
          <w:i/>
          <w:sz w:val="20"/>
          <w:szCs w:val="20"/>
        </w:rPr>
        <w:t xml:space="preserve"> grade information on information from the student's "current" grade.</w:t>
      </w:r>
      <w:r w:rsidR="00586DD2">
        <w:rPr>
          <w:i/>
          <w:sz w:val="20"/>
          <w:szCs w:val="20"/>
        </w:rPr>
        <w:t xml:space="preserve"> Note: Blank cells indicate threshold </w:t>
      </w:r>
      <w:r w:rsidR="00BB1F96">
        <w:rPr>
          <w:i/>
          <w:sz w:val="20"/>
          <w:szCs w:val="20"/>
        </w:rPr>
        <w:t xml:space="preserve">value was not </w:t>
      </w:r>
      <w:proofErr w:type="gramStart"/>
      <w:r w:rsidR="00BB1F96">
        <w:rPr>
          <w:i/>
          <w:sz w:val="20"/>
          <w:szCs w:val="20"/>
        </w:rPr>
        <w:t>reported  by</w:t>
      </w:r>
      <w:proofErr w:type="gramEnd"/>
      <w:r w:rsidR="00BB1F96">
        <w:rPr>
          <w:i/>
          <w:sz w:val="20"/>
          <w:szCs w:val="20"/>
        </w:rPr>
        <w:t xml:space="preserve"> the authors for the indicator.  </w:t>
      </w:r>
    </w:p>
    <w:p w:rsidR="005636A2" w:rsidRDefault="002C2E7D" w:rsidP="000D2580">
      <w:pPr>
        <w:pStyle w:val="Heading1"/>
        <w:jc w:val="center"/>
      </w:pPr>
      <w:r>
        <w:lastRenderedPageBreak/>
        <w:t>Summary</w:t>
      </w:r>
    </w:p>
    <w:p w:rsidR="00B02596" w:rsidRDefault="00B02596">
      <w:pPr>
        <w:spacing w:after="0" w:line="240" w:lineRule="auto"/>
      </w:pPr>
    </w:p>
    <w:p w:rsidR="00CD26D3" w:rsidRDefault="002C2E7D" w:rsidP="000B3DAB">
      <w:pPr>
        <w:pStyle w:val="NoSpacing"/>
      </w:pPr>
      <w:r w:rsidRPr="000B3DAB">
        <w:t>The articles reviewed provide methodologies and recommendations for indicators that districts c</w:t>
      </w:r>
      <w:r w:rsidR="00126752">
        <w:t>an</w:t>
      </w:r>
      <w:r w:rsidRPr="000B3DAB">
        <w:t xml:space="preserve"> use in </w:t>
      </w:r>
      <w:proofErr w:type="gramStart"/>
      <w:r w:rsidRPr="000B3DAB">
        <w:t>an</w:t>
      </w:r>
      <w:proofErr w:type="gramEnd"/>
      <w:r w:rsidRPr="000B3DAB">
        <w:t xml:space="preserve"> EWS</w:t>
      </w:r>
      <w:r w:rsidR="000C2285">
        <w:t xml:space="preserve">. </w:t>
      </w:r>
      <w:r w:rsidRPr="000B3DAB">
        <w:t>All articles</w:t>
      </w:r>
      <w:r w:rsidR="0081755B">
        <w:t xml:space="preserve"> </w:t>
      </w:r>
      <w:r w:rsidR="00AF41D5">
        <w:t xml:space="preserve">include </w:t>
      </w:r>
      <w:r w:rsidRPr="000B3DAB">
        <w:t>a descriptive overview of their sample</w:t>
      </w:r>
      <w:r w:rsidR="000C2285">
        <w:t xml:space="preserve">. </w:t>
      </w:r>
      <w:r w:rsidRPr="000B3DAB">
        <w:t>This overview compare</w:t>
      </w:r>
      <w:r w:rsidR="0064751A">
        <w:t>d</w:t>
      </w:r>
      <w:r w:rsidRPr="000B3DAB">
        <w:t xml:space="preserve"> the general </w:t>
      </w:r>
      <w:r w:rsidR="000B3DAB" w:rsidRPr="000B3DAB">
        <w:t>characteristics</w:t>
      </w:r>
      <w:r w:rsidRPr="000B3DAB">
        <w:t xml:space="preserve"> of graduates versus dropouts in the sample</w:t>
      </w:r>
      <w:r w:rsidR="000C2285">
        <w:t xml:space="preserve">. </w:t>
      </w:r>
      <w:r w:rsidR="00AF41D5">
        <w:t>The article authors then analyzed</w:t>
      </w:r>
      <w:r w:rsidRPr="000B3DAB">
        <w:t xml:space="preserve"> which of these general characteristics </w:t>
      </w:r>
      <w:r w:rsidR="00AF41D5">
        <w:t>was able</w:t>
      </w:r>
      <w:r w:rsidRPr="000B3DAB">
        <w:t xml:space="preserve"> to most accurately predict students at risk </w:t>
      </w:r>
      <w:r w:rsidR="00AF41D5">
        <w:t>of</w:t>
      </w:r>
      <w:r w:rsidR="00AF41D5" w:rsidRPr="000B3DAB">
        <w:t xml:space="preserve"> </w:t>
      </w:r>
      <w:r w:rsidRPr="000B3DAB">
        <w:t>drop</w:t>
      </w:r>
      <w:r w:rsidR="00E86DAC">
        <w:t xml:space="preserve"> </w:t>
      </w:r>
      <w:r w:rsidRPr="000B3DAB">
        <w:t>out</w:t>
      </w:r>
      <w:r w:rsidR="000C2285">
        <w:t xml:space="preserve">. </w:t>
      </w:r>
      <w:r w:rsidRPr="000B3DAB">
        <w:t xml:space="preserve">These </w:t>
      </w:r>
      <w:r w:rsidR="000B3DAB" w:rsidRPr="000B3DAB">
        <w:t>variables</w:t>
      </w:r>
      <w:r w:rsidRPr="000B3DAB">
        <w:t xml:space="preserve"> become the authors</w:t>
      </w:r>
      <w:r w:rsidR="00126752">
        <w:t>’</w:t>
      </w:r>
      <w:r w:rsidRPr="000B3DAB">
        <w:t xml:space="preserve"> recommendations for indicators to include in </w:t>
      </w:r>
      <w:proofErr w:type="gramStart"/>
      <w:r w:rsidRPr="000B3DAB">
        <w:t>an</w:t>
      </w:r>
      <w:proofErr w:type="gramEnd"/>
      <w:r w:rsidRPr="000B3DAB">
        <w:t xml:space="preserve"> EWS</w:t>
      </w:r>
      <w:r w:rsidR="000C2285">
        <w:t xml:space="preserve">. </w:t>
      </w:r>
      <w:r w:rsidRPr="000B3DAB">
        <w:t xml:space="preserve">Although the specific definitions of student dropout and the key indicators </w:t>
      </w:r>
      <w:r w:rsidR="00F02433" w:rsidRPr="000B3DAB">
        <w:t>var</w:t>
      </w:r>
      <w:r w:rsidR="00F02433">
        <w:t>y</w:t>
      </w:r>
      <w:r w:rsidR="00F02433" w:rsidRPr="000B3DAB">
        <w:t xml:space="preserve"> </w:t>
      </w:r>
      <w:r w:rsidR="00F836AC">
        <w:t>among</w:t>
      </w:r>
      <w:r w:rsidR="00F836AC" w:rsidRPr="000B3DAB">
        <w:t xml:space="preserve"> </w:t>
      </w:r>
      <w:r w:rsidRPr="000B3DAB">
        <w:t xml:space="preserve">the articles, </w:t>
      </w:r>
      <w:r w:rsidR="004A41B4">
        <w:t>two</w:t>
      </w:r>
      <w:r w:rsidRPr="000B3DAB">
        <w:t xml:space="preserve"> </w:t>
      </w:r>
      <w:r w:rsidR="000B3DAB" w:rsidRPr="000B3DAB">
        <w:t>categories</w:t>
      </w:r>
      <w:r w:rsidRPr="000B3DAB">
        <w:t xml:space="preserve"> emerge </w:t>
      </w:r>
      <w:r w:rsidR="000B3DAB" w:rsidRPr="000B3DAB">
        <w:t>across</w:t>
      </w:r>
      <w:r w:rsidRPr="000B3DAB">
        <w:t xml:space="preserve"> the articles as key indicators </w:t>
      </w:r>
      <w:r w:rsidR="00F02433">
        <w:t xml:space="preserve">to include in </w:t>
      </w:r>
      <w:proofErr w:type="gramStart"/>
      <w:r w:rsidR="00F02433">
        <w:t>an</w:t>
      </w:r>
      <w:proofErr w:type="gramEnd"/>
      <w:r w:rsidRPr="000B3DAB">
        <w:t xml:space="preserve"> EWS</w:t>
      </w:r>
      <w:r w:rsidR="000C2285">
        <w:t xml:space="preserve">. </w:t>
      </w:r>
      <w:r w:rsidRPr="004A41B4">
        <w:t xml:space="preserve">These </w:t>
      </w:r>
      <w:r w:rsidR="00566AEA" w:rsidRPr="004A41B4">
        <w:t>categories</w:t>
      </w:r>
      <w:r w:rsidRPr="004A41B4">
        <w:t xml:space="preserve"> are</w:t>
      </w:r>
      <w:r w:rsidR="004A41B4" w:rsidRPr="004A41B4">
        <w:t xml:space="preserve"> attendance</w:t>
      </w:r>
      <w:r w:rsidR="004A41B4">
        <w:t xml:space="preserve"> and a measure of academic performance.</w:t>
      </w:r>
      <w:r w:rsidR="00CD26D3">
        <w:t xml:space="preserve"> </w:t>
      </w:r>
    </w:p>
    <w:p w:rsidR="00CD26D3" w:rsidRDefault="00CD26D3" w:rsidP="000B3DAB">
      <w:pPr>
        <w:pStyle w:val="NoSpacing"/>
      </w:pPr>
    </w:p>
    <w:p w:rsidR="002C2E7D" w:rsidRPr="000B3DAB" w:rsidRDefault="00CD26D3" w:rsidP="00150248">
      <w:pPr>
        <w:pStyle w:val="NoSpacing"/>
      </w:pPr>
      <w:r>
        <w:t xml:space="preserve">A </w:t>
      </w:r>
      <w:r w:rsidRPr="00150248">
        <w:t>limitation</w:t>
      </w:r>
      <w:r>
        <w:t xml:space="preserve"> of the majority of these studies is the lack of detail provided </w:t>
      </w:r>
      <w:r w:rsidR="00150248">
        <w:t>describing the</w:t>
      </w:r>
      <w:r>
        <w:t xml:space="preserve"> methodologies used to</w:t>
      </w:r>
      <w:r w:rsidR="00150248">
        <w:t xml:space="preserve"> both</w:t>
      </w:r>
      <w:r>
        <w:t xml:space="preserve"> determine recommended</w:t>
      </w:r>
      <w:r w:rsidR="00150248">
        <w:t xml:space="preserve"> indicators and the indicator</w:t>
      </w:r>
      <w:r>
        <w:t xml:space="preserve"> </w:t>
      </w:r>
      <w:r w:rsidR="00150248">
        <w:t>thresholds. The majority of the articles state that they used a series</w:t>
      </w:r>
      <w:r w:rsidR="0070765B">
        <w:t xml:space="preserve"> of</w:t>
      </w:r>
      <w:r w:rsidR="00150248">
        <w:t xml:space="preserve"> logistic regression models to select their indicators but never fully specify the models or model</w:t>
      </w:r>
      <w:r w:rsidR="00F02433">
        <w:t>-</w:t>
      </w:r>
      <w:r w:rsidR="00150248">
        <w:t xml:space="preserve">building procedures. </w:t>
      </w:r>
      <w:r w:rsidR="004E6E2A">
        <w:t>Without these model</w:t>
      </w:r>
      <w:r w:rsidR="00664E9B">
        <w:t>-</w:t>
      </w:r>
      <w:r w:rsidR="004E6E2A">
        <w:t xml:space="preserve">building procedures, there is no information on </w:t>
      </w:r>
      <w:r w:rsidR="00664E9B">
        <w:t>the</w:t>
      </w:r>
      <w:r w:rsidR="004E6E2A">
        <w:t xml:space="preserve"> criteria used to either add or subtract indicators from successive models. For example</w:t>
      </w:r>
      <w:r w:rsidR="00664E9B">
        <w:t>,</w:t>
      </w:r>
      <w:r w:rsidR="00644A06" w:rsidRPr="00644A06">
        <w:t xml:space="preserve"> </w:t>
      </w:r>
      <w:proofErr w:type="spellStart"/>
      <w:r w:rsidR="00644A06" w:rsidRPr="00644A06">
        <w:t>Balfanz</w:t>
      </w:r>
      <w:proofErr w:type="spellEnd"/>
      <w:r w:rsidR="00644A06" w:rsidRPr="00644A06">
        <w:t xml:space="preserve"> et al. (2010)</w:t>
      </w:r>
      <w:r w:rsidR="00644A06">
        <w:t xml:space="preserve"> initially included math</w:t>
      </w:r>
      <w:r w:rsidR="00664E9B">
        <w:t>ematics</w:t>
      </w:r>
      <w:r w:rsidR="00644A06">
        <w:t xml:space="preserve"> grades in their models but did not explain the criteria they used to exclude it from their final model.  Therefore, a district will not be able to use the same criteria when recreating their analyses.</w:t>
      </w:r>
      <w:r w:rsidR="004E6E2A">
        <w:t xml:space="preserve"> </w:t>
      </w:r>
      <w:r w:rsidR="00F02433">
        <w:t>Although t</w:t>
      </w:r>
      <w:r w:rsidR="00150248">
        <w:t>he final models can be inferred by the results tables in the technical appendix</w:t>
      </w:r>
      <w:r w:rsidR="00F02433">
        <w:t>,</w:t>
      </w:r>
      <w:r w:rsidR="00150248">
        <w:t xml:space="preserve"> little information </w:t>
      </w:r>
      <w:r w:rsidR="00F02433">
        <w:t xml:space="preserve">is </w:t>
      </w:r>
      <w:r w:rsidR="00150248">
        <w:t>available to re</w:t>
      </w:r>
      <w:r w:rsidR="00F02433">
        <w:t>-</w:t>
      </w:r>
      <w:r w:rsidR="00150248">
        <w:t>create the intermediate model. These intermediate models an</w:t>
      </w:r>
      <w:r w:rsidR="0070765B">
        <w:t>d</w:t>
      </w:r>
      <w:r w:rsidR="00150248">
        <w:t xml:space="preserve"> associated explanations could provide information on why some </w:t>
      </w:r>
      <w:r w:rsidR="00A92D0C">
        <w:t>demographic</w:t>
      </w:r>
      <w:r w:rsidR="000D2580">
        <w:t>s</w:t>
      </w:r>
      <w:r w:rsidR="00150248">
        <w:t xml:space="preserve"> </w:t>
      </w:r>
      <w:r w:rsidR="004E6E2A">
        <w:t>were included in earlier models but were ultimately ruled out as strong indicator</w:t>
      </w:r>
      <w:r w:rsidR="00A92D0C">
        <w:t>.</w:t>
      </w:r>
      <w:r w:rsidR="00150248">
        <w:t xml:space="preserve"> Information regarding the decisions behind selecting the threshold values is also vague. </w:t>
      </w:r>
    </w:p>
    <w:p w:rsidR="000B3DAB" w:rsidRDefault="000B3DAB" w:rsidP="000B3DAB">
      <w:pPr>
        <w:pStyle w:val="NoSpacing"/>
      </w:pPr>
      <w:r>
        <w:tab/>
      </w:r>
    </w:p>
    <w:p w:rsidR="000D2580" w:rsidRDefault="000D2580">
      <w:r>
        <w:br w:type="page"/>
      </w:r>
    </w:p>
    <w:p w:rsidR="000B3DAB" w:rsidRPr="000B3DAB" w:rsidRDefault="000B3DAB" w:rsidP="000B3DAB"/>
    <w:p w:rsidR="000D2580" w:rsidRPr="000D2580" w:rsidRDefault="005636A2" w:rsidP="000D2580">
      <w:pPr>
        <w:pStyle w:val="Heading1"/>
        <w:jc w:val="center"/>
      </w:pPr>
      <w:r>
        <w:t>References</w:t>
      </w:r>
    </w:p>
    <w:p w:rsidR="007A272E" w:rsidRDefault="000D2580" w:rsidP="000D2580">
      <w:pPr>
        <w:spacing w:after="0" w:line="240" w:lineRule="auto"/>
        <w:ind w:left="720" w:hanging="720"/>
      </w:pPr>
      <w:proofErr w:type="spellStart"/>
      <w:proofErr w:type="gramStart"/>
      <w:r w:rsidRPr="000D2580">
        <w:t>Allensworth</w:t>
      </w:r>
      <w:proofErr w:type="spellEnd"/>
      <w:r w:rsidRPr="000D2580">
        <w:t>, E.M., &amp; Easton, J.Q. (2007).</w:t>
      </w:r>
      <w:proofErr w:type="gramEnd"/>
      <w:r w:rsidRPr="000D2580">
        <w:t xml:space="preserve"> </w:t>
      </w:r>
      <w:r w:rsidRPr="000D2580">
        <w:rPr>
          <w:i/>
        </w:rPr>
        <w:t xml:space="preserve">What matters for staying on-track and graduating in Chicago public high schools: A close look at course grades, failures, and attendance in the freshman </w:t>
      </w:r>
      <w:proofErr w:type="gramStart"/>
      <w:r w:rsidRPr="000D2580">
        <w:rPr>
          <w:i/>
        </w:rPr>
        <w:t>year.</w:t>
      </w:r>
      <w:proofErr w:type="gramEnd"/>
      <w:r w:rsidRPr="000D2580">
        <w:t xml:space="preserve"> Chicago, IL: University of Chicago, Consortium on Chicago School Research. </w:t>
      </w:r>
      <w:r w:rsidR="00140471">
        <w:t xml:space="preserve">Retrieved from </w:t>
      </w:r>
      <w:hyperlink r:id="rId14" w:history="1">
        <w:r w:rsidR="007A272E" w:rsidRPr="00145D2C">
          <w:rPr>
            <w:rStyle w:val="Hyperlink"/>
          </w:rPr>
          <w:t>http://ccsr.uchicago.edu/content/publications.php?pub_id=116</w:t>
        </w:r>
      </w:hyperlink>
    </w:p>
    <w:p w:rsidR="000D2580" w:rsidRPr="000D2580" w:rsidRDefault="000D2580" w:rsidP="000D2580">
      <w:pPr>
        <w:spacing w:after="0" w:line="240" w:lineRule="auto"/>
        <w:ind w:left="720" w:hanging="720"/>
      </w:pPr>
    </w:p>
    <w:p w:rsidR="000D2580" w:rsidRDefault="000D2580" w:rsidP="000D2580">
      <w:pPr>
        <w:spacing w:after="0" w:line="240" w:lineRule="auto"/>
        <w:ind w:left="720" w:hanging="720"/>
      </w:pPr>
      <w:proofErr w:type="spellStart"/>
      <w:proofErr w:type="gramStart"/>
      <w:r w:rsidRPr="000D2580">
        <w:t>Balfanz</w:t>
      </w:r>
      <w:proofErr w:type="spellEnd"/>
      <w:r w:rsidRPr="000D2580">
        <w:t>, R., Wang, A., &amp; Byrnes, V. (2010).</w:t>
      </w:r>
      <w:proofErr w:type="gramEnd"/>
      <w:r w:rsidRPr="000D2580">
        <w:t xml:space="preserve"> </w:t>
      </w:r>
      <w:r w:rsidRPr="000D2580">
        <w:rPr>
          <w:i/>
        </w:rPr>
        <w:t xml:space="preserve">Early warning indicator analysis: Tennessee. </w:t>
      </w:r>
      <w:r w:rsidRPr="000D2580">
        <w:t xml:space="preserve">Baltimore, MD: Johns Hopkins University, </w:t>
      </w:r>
      <w:proofErr w:type="gramStart"/>
      <w:r w:rsidRPr="000D2580">
        <w:t>The</w:t>
      </w:r>
      <w:proofErr w:type="gramEnd"/>
      <w:r w:rsidRPr="000D2580">
        <w:t xml:space="preserve"> Center for Social Organization of Schools. </w:t>
      </w:r>
      <w:r w:rsidR="00140471">
        <w:t xml:space="preserve">Retrieved from </w:t>
      </w:r>
      <w:hyperlink r:id="rId15" w:history="1">
        <w:r w:rsidR="00140471" w:rsidRPr="00145D2C">
          <w:rPr>
            <w:rStyle w:val="Hyperlink"/>
          </w:rPr>
          <w:t>http://state.tn.us/education/safe_schls/dropout/doc/FinalEarlyWarningIndicatorAnalysis.PDF</w:t>
        </w:r>
      </w:hyperlink>
    </w:p>
    <w:p w:rsidR="000D2580" w:rsidRPr="000D2580" w:rsidRDefault="000D2580" w:rsidP="000D2580">
      <w:pPr>
        <w:spacing w:after="0" w:line="240" w:lineRule="auto"/>
        <w:ind w:left="720" w:hanging="720"/>
      </w:pPr>
    </w:p>
    <w:p w:rsidR="000D2580" w:rsidRDefault="000D2580" w:rsidP="000D2580">
      <w:pPr>
        <w:spacing w:after="0" w:line="240" w:lineRule="auto"/>
        <w:ind w:left="720" w:hanging="720"/>
      </w:pPr>
      <w:proofErr w:type="spellStart"/>
      <w:proofErr w:type="gramStart"/>
      <w:r w:rsidRPr="000D2580">
        <w:t>Dynarski</w:t>
      </w:r>
      <w:proofErr w:type="spellEnd"/>
      <w:r w:rsidRPr="000D2580">
        <w:t xml:space="preserve">, M., Clarke, L., Cobb, B., Finn, J., </w:t>
      </w:r>
      <w:proofErr w:type="spellStart"/>
      <w:r w:rsidRPr="000D2580">
        <w:t>Rumberger</w:t>
      </w:r>
      <w:proofErr w:type="spellEnd"/>
      <w:r w:rsidRPr="000D2580">
        <w:t xml:space="preserve">, R., &amp; </w:t>
      </w:r>
      <w:proofErr w:type="spellStart"/>
      <w:r w:rsidRPr="000D2580">
        <w:t>Smink</w:t>
      </w:r>
      <w:proofErr w:type="spellEnd"/>
      <w:r w:rsidRPr="000D2580">
        <w:t>, J. (2008).</w:t>
      </w:r>
      <w:proofErr w:type="gramEnd"/>
      <w:r w:rsidRPr="000D2580">
        <w:t xml:space="preserve"> Dropout prevention: A practice guide (NCEE 2008-4025). Washington, DC: National Center for Education Evaluation and Regional Assistance, Institute of Education Sciences, U.S. Department of Education. </w:t>
      </w:r>
      <w:r w:rsidR="000E335E">
        <w:t>Retreived</w:t>
      </w:r>
      <w:r w:rsidRPr="000D2580">
        <w:t xml:space="preserve"> from </w:t>
      </w:r>
      <w:hyperlink r:id="rId16" w:history="1">
        <w:r w:rsidR="007A272E" w:rsidRPr="00145D2C">
          <w:rPr>
            <w:rStyle w:val="Hyperlink"/>
          </w:rPr>
          <w:t>http://ies.ed.gov/ncee/wwc</w:t>
        </w:r>
      </w:hyperlink>
    </w:p>
    <w:p w:rsidR="000D2580" w:rsidRPr="000D2580" w:rsidRDefault="000D2580" w:rsidP="000D2580">
      <w:pPr>
        <w:spacing w:after="0" w:line="240" w:lineRule="auto"/>
        <w:ind w:left="720" w:hanging="720"/>
      </w:pPr>
    </w:p>
    <w:p w:rsidR="000D2580" w:rsidRDefault="000D2580" w:rsidP="000D2580">
      <w:pPr>
        <w:spacing w:after="0" w:line="240" w:lineRule="auto"/>
        <w:ind w:left="720" w:hanging="720"/>
      </w:pPr>
      <w:proofErr w:type="gramStart"/>
      <w:r w:rsidRPr="000D2580">
        <w:t xml:space="preserve">Mac </w:t>
      </w:r>
      <w:proofErr w:type="spellStart"/>
      <w:r w:rsidRPr="000D2580">
        <w:t>Iver</w:t>
      </w:r>
      <w:proofErr w:type="spellEnd"/>
      <w:r w:rsidRPr="000D2580">
        <w:t xml:space="preserve">, M.A., </w:t>
      </w:r>
      <w:proofErr w:type="spellStart"/>
      <w:r w:rsidRPr="000D2580">
        <w:t>Balfanz</w:t>
      </w:r>
      <w:proofErr w:type="spellEnd"/>
      <w:r w:rsidRPr="000D2580">
        <w:t>, R., &amp; Byrnes, V. (2009a).</w:t>
      </w:r>
      <w:proofErr w:type="gramEnd"/>
      <w:r w:rsidRPr="000D2580">
        <w:t xml:space="preserve"> </w:t>
      </w:r>
      <w:r w:rsidRPr="000D2580">
        <w:rPr>
          <w:i/>
        </w:rPr>
        <w:t>Dropouts in the Denver Public Schools: Early warning signals and possibilities for prevention and recovery.</w:t>
      </w:r>
      <w:r w:rsidRPr="000D2580">
        <w:t xml:space="preserve"> Baltimore, MD: Johns Hopkins University, </w:t>
      </w:r>
      <w:proofErr w:type="gramStart"/>
      <w:r w:rsidRPr="000D2580">
        <w:t>The</w:t>
      </w:r>
      <w:proofErr w:type="gramEnd"/>
      <w:r w:rsidRPr="000D2580">
        <w:t xml:space="preserve"> Center for Social Organization of Schools. </w:t>
      </w:r>
      <w:r w:rsidR="00140471">
        <w:t xml:space="preserve">Retrieved from </w:t>
      </w:r>
      <w:hyperlink r:id="rId17" w:history="1">
        <w:r w:rsidR="007A272E" w:rsidRPr="00145D2C">
          <w:rPr>
            <w:rStyle w:val="Hyperlink"/>
          </w:rPr>
          <w:t>http://archives.ednewscolorado.org/resources/1/Hopkins-full%20study.pdf</w:t>
        </w:r>
      </w:hyperlink>
    </w:p>
    <w:p w:rsidR="007A272E" w:rsidRPr="000D2580" w:rsidRDefault="007A272E" w:rsidP="004F7D8B">
      <w:pPr>
        <w:spacing w:after="0" w:line="240" w:lineRule="auto"/>
      </w:pPr>
    </w:p>
    <w:p w:rsidR="000D2580" w:rsidRDefault="000D2580" w:rsidP="000D2580">
      <w:pPr>
        <w:spacing w:after="0" w:line="240" w:lineRule="auto"/>
        <w:ind w:left="720" w:hanging="720"/>
      </w:pPr>
      <w:proofErr w:type="gramStart"/>
      <w:r w:rsidRPr="000D2580">
        <w:t xml:space="preserve">Mac </w:t>
      </w:r>
      <w:proofErr w:type="spellStart"/>
      <w:r w:rsidRPr="000D2580">
        <w:t>Iver</w:t>
      </w:r>
      <w:proofErr w:type="spellEnd"/>
      <w:r w:rsidRPr="000D2580">
        <w:t xml:space="preserve">, M.A., </w:t>
      </w:r>
      <w:proofErr w:type="spellStart"/>
      <w:r w:rsidRPr="000D2580">
        <w:t>Balfanz</w:t>
      </w:r>
      <w:proofErr w:type="spellEnd"/>
      <w:r w:rsidRPr="000D2580">
        <w:t>, R., &amp; Byrnes, V. (2009b).</w:t>
      </w:r>
      <w:proofErr w:type="gramEnd"/>
      <w:r w:rsidRPr="000D2580">
        <w:t xml:space="preserve"> </w:t>
      </w:r>
      <w:r w:rsidRPr="000D2580">
        <w:rPr>
          <w:i/>
        </w:rPr>
        <w:t>Advancing the “Colorado graduates” agenda: Understanding the dropout problem and mobilizing to meet the graduation challenge.</w:t>
      </w:r>
      <w:r w:rsidRPr="000D2580">
        <w:t xml:space="preserve"> Baltimore, MD: Johns Hopkins University, </w:t>
      </w:r>
      <w:proofErr w:type="gramStart"/>
      <w:r w:rsidRPr="000D2580">
        <w:t>The</w:t>
      </w:r>
      <w:proofErr w:type="gramEnd"/>
      <w:r w:rsidRPr="000D2580">
        <w:t xml:space="preserve"> Center for Social Organization of Schools</w:t>
      </w:r>
      <w:r w:rsidR="0070765B">
        <w:t>.</w:t>
      </w:r>
      <w:r w:rsidRPr="000D2580">
        <w:t xml:space="preserve"> </w:t>
      </w:r>
      <w:r w:rsidR="00140471">
        <w:t xml:space="preserve"> Retrieved from </w:t>
      </w:r>
      <w:hyperlink r:id="rId18" w:history="1">
        <w:r w:rsidR="00140471" w:rsidRPr="00145D2C">
          <w:rPr>
            <w:rStyle w:val="Hyperlink"/>
          </w:rPr>
          <w:t>http://www.every1graduates.org/maciver-martha/item/93-advancing-the-%E2%80%9Ccolorado-graduates%E2%80%9D-agenda-understanding-the-dropout-problem-and-mobilizing-to-meet-the-graduation-challenge.html</w:t>
        </w:r>
      </w:hyperlink>
    </w:p>
    <w:p w:rsidR="00140471" w:rsidRPr="000D2580" w:rsidRDefault="00140471" w:rsidP="000D2580">
      <w:pPr>
        <w:spacing w:after="0" w:line="240" w:lineRule="auto"/>
        <w:ind w:left="720" w:hanging="720"/>
      </w:pPr>
    </w:p>
    <w:p w:rsidR="000D2580" w:rsidRDefault="000D2580" w:rsidP="000D2580">
      <w:pPr>
        <w:spacing w:after="0" w:line="240" w:lineRule="auto"/>
        <w:ind w:left="720" w:hanging="720"/>
      </w:pPr>
      <w:proofErr w:type="gramStart"/>
      <w:r w:rsidRPr="000D2580">
        <w:t>National High School Center.</w:t>
      </w:r>
      <w:proofErr w:type="gramEnd"/>
      <w:r w:rsidRPr="000D2580">
        <w:t xml:space="preserve"> (2011). </w:t>
      </w:r>
      <w:r w:rsidRPr="000D2580">
        <w:rPr>
          <w:i/>
        </w:rPr>
        <w:t>National High School Center: Early</w:t>
      </w:r>
      <w:r w:rsidR="00586DD2">
        <w:rPr>
          <w:i/>
        </w:rPr>
        <w:t xml:space="preserve"> Warning System</w:t>
      </w:r>
      <w:r w:rsidRPr="000D2580">
        <w:rPr>
          <w:i/>
        </w:rPr>
        <w:t xml:space="preserve"> </w:t>
      </w:r>
      <w:r w:rsidR="00586DD2">
        <w:rPr>
          <w:i/>
        </w:rPr>
        <w:t xml:space="preserve">High School Tool: Technical Manual </w:t>
      </w:r>
      <w:r w:rsidRPr="000D2580">
        <w:t xml:space="preserve">Washington, DC: American Institutes for Research, National High School Center. </w:t>
      </w:r>
      <w:r w:rsidR="00586DD2">
        <w:t>Retrieved from</w:t>
      </w:r>
      <w:r w:rsidRPr="000D2580">
        <w:t xml:space="preserve"> </w:t>
      </w:r>
      <w:hyperlink r:id="rId19" w:history="1">
        <w:r w:rsidR="007A272E" w:rsidRPr="00145D2C">
          <w:rPr>
            <w:rStyle w:val="Hyperlink"/>
          </w:rPr>
          <w:t>http://www.betterhighschools.org/EWS_tool.asp</w:t>
        </w:r>
      </w:hyperlink>
    </w:p>
    <w:p w:rsidR="000D2580" w:rsidRPr="000D2580" w:rsidRDefault="000D2580" w:rsidP="004F7D8B">
      <w:pPr>
        <w:spacing w:after="0" w:line="240" w:lineRule="auto"/>
      </w:pPr>
    </w:p>
    <w:p w:rsidR="000D2580" w:rsidRDefault="000D2580" w:rsidP="000D2580">
      <w:pPr>
        <w:spacing w:after="0" w:line="240" w:lineRule="auto"/>
        <w:ind w:left="720" w:hanging="720"/>
      </w:pPr>
      <w:proofErr w:type="spellStart"/>
      <w:proofErr w:type="gramStart"/>
      <w:r w:rsidRPr="000D2580">
        <w:t>Neild</w:t>
      </w:r>
      <w:proofErr w:type="spellEnd"/>
      <w:r w:rsidRPr="000D2580">
        <w:t xml:space="preserve">, R.C., &amp; </w:t>
      </w:r>
      <w:proofErr w:type="spellStart"/>
      <w:r w:rsidRPr="000D2580">
        <w:t>Balfanz</w:t>
      </w:r>
      <w:proofErr w:type="spellEnd"/>
      <w:r w:rsidRPr="000D2580">
        <w:t>, R. (2006).</w:t>
      </w:r>
      <w:proofErr w:type="gramEnd"/>
      <w:r w:rsidRPr="000D2580">
        <w:t xml:space="preserve"> </w:t>
      </w:r>
      <w:r w:rsidRPr="000D2580">
        <w:rPr>
          <w:i/>
        </w:rPr>
        <w:t xml:space="preserve">Unfulfilled promise: The dimensions and characteristics of Philadelphia’s dropout crisis, 2000-2005. </w:t>
      </w:r>
      <w:r w:rsidRPr="000D2580">
        <w:t>Philadelphia, PA: Philadelphia Youth Network.</w:t>
      </w:r>
      <w:r w:rsidR="007A272E">
        <w:t xml:space="preserve"> Retrieved from </w:t>
      </w:r>
      <w:hyperlink r:id="rId20" w:history="1">
        <w:r w:rsidR="007A272E" w:rsidRPr="00145D2C">
          <w:rPr>
            <w:rStyle w:val="Hyperlink"/>
          </w:rPr>
          <w:t>http://www.pyninc.org/projectuturn/about.php</w:t>
        </w:r>
      </w:hyperlink>
    </w:p>
    <w:p w:rsidR="007A272E" w:rsidRDefault="007A272E" w:rsidP="000D2580">
      <w:pPr>
        <w:spacing w:after="0" w:line="240" w:lineRule="auto"/>
        <w:ind w:left="720" w:hanging="720"/>
      </w:pPr>
    </w:p>
    <w:p w:rsidR="000D2580" w:rsidRPr="000D2580" w:rsidRDefault="000D2580" w:rsidP="000D2580">
      <w:pPr>
        <w:spacing w:after="0" w:line="240" w:lineRule="auto"/>
        <w:ind w:left="720" w:hanging="720"/>
      </w:pPr>
    </w:p>
    <w:p w:rsidR="005636A2" w:rsidRDefault="005636A2" w:rsidP="004A41B4">
      <w:pPr>
        <w:pStyle w:val="NoSpacing"/>
        <w:ind w:left="720"/>
      </w:pPr>
    </w:p>
    <w:sectPr w:rsidR="005636A2" w:rsidSect="004A41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774" w:rsidRDefault="00BA6774" w:rsidP="00C85431">
      <w:pPr>
        <w:spacing w:after="0" w:line="240" w:lineRule="auto"/>
      </w:pPr>
      <w:r>
        <w:separator/>
      </w:r>
    </w:p>
  </w:endnote>
  <w:endnote w:type="continuationSeparator" w:id="0">
    <w:p w:rsidR="00BA6774" w:rsidRDefault="00BA6774" w:rsidP="00C85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9751"/>
      <w:docPartObj>
        <w:docPartGallery w:val="Page Numbers (Bottom of Page)"/>
        <w:docPartUnique/>
      </w:docPartObj>
    </w:sdtPr>
    <w:sdtContent>
      <w:p w:rsidR="0005345B" w:rsidRDefault="00B50290">
        <w:pPr>
          <w:pStyle w:val="Footer"/>
          <w:jc w:val="right"/>
        </w:pPr>
        <w:fldSimple w:instr=" PAGE   \* MERGEFORMAT ">
          <w:r w:rsidR="00A87FBF">
            <w:rPr>
              <w:noProof/>
            </w:rPr>
            <w:t>9</w:t>
          </w:r>
        </w:fldSimple>
      </w:p>
    </w:sdtContent>
  </w:sdt>
  <w:p w:rsidR="0005345B" w:rsidRDefault="00053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774" w:rsidRDefault="00BA6774" w:rsidP="00C85431">
      <w:pPr>
        <w:spacing w:after="0" w:line="240" w:lineRule="auto"/>
      </w:pPr>
      <w:r>
        <w:separator/>
      </w:r>
    </w:p>
  </w:footnote>
  <w:footnote w:type="continuationSeparator" w:id="0">
    <w:p w:rsidR="00BA6774" w:rsidRDefault="00BA6774" w:rsidP="00C85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5B" w:rsidRDefault="000534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5B" w:rsidRDefault="000534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5B" w:rsidRDefault="000534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35F3F"/>
    <w:multiLevelType w:val="hybridMultilevel"/>
    <w:tmpl w:val="6E4819D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2F620EFC"/>
    <w:multiLevelType w:val="hybridMultilevel"/>
    <w:tmpl w:val="0AA0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74831"/>
    <w:multiLevelType w:val="hybridMultilevel"/>
    <w:tmpl w:val="6FB4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72C23"/>
    <w:multiLevelType w:val="hybridMultilevel"/>
    <w:tmpl w:val="19CE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043BF"/>
    <w:multiLevelType w:val="hybridMultilevel"/>
    <w:tmpl w:val="8944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27019"/>
    <w:multiLevelType w:val="hybridMultilevel"/>
    <w:tmpl w:val="9C1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0770D"/>
    <w:multiLevelType w:val="hybridMultilevel"/>
    <w:tmpl w:val="FF68E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4"/>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A72F57"/>
    <w:rsid w:val="0000052B"/>
    <w:rsid w:val="00010475"/>
    <w:rsid w:val="00027B78"/>
    <w:rsid w:val="00031A61"/>
    <w:rsid w:val="00032D1D"/>
    <w:rsid w:val="000514CA"/>
    <w:rsid w:val="0005345B"/>
    <w:rsid w:val="00064416"/>
    <w:rsid w:val="00073DB7"/>
    <w:rsid w:val="00085DCF"/>
    <w:rsid w:val="000B0577"/>
    <w:rsid w:val="000B3DAB"/>
    <w:rsid w:val="000B3F52"/>
    <w:rsid w:val="000C2285"/>
    <w:rsid w:val="000D2580"/>
    <w:rsid w:val="000E335E"/>
    <w:rsid w:val="00126752"/>
    <w:rsid w:val="00130732"/>
    <w:rsid w:val="00133487"/>
    <w:rsid w:val="00136858"/>
    <w:rsid w:val="00140471"/>
    <w:rsid w:val="00150248"/>
    <w:rsid w:val="001C1556"/>
    <w:rsid w:val="001D7040"/>
    <w:rsid w:val="001F026C"/>
    <w:rsid w:val="001F4379"/>
    <w:rsid w:val="001F790C"/>
    <w:rsid w:val="00200D2F"/>
    <w:rsid w:val="0020302D"/>
    <w:rsid w:val="002040F7"/>
    <w:rsid w:val="00273666"/>
    <w:rsid w:val="002826FF"/>
    <w:rsid w:val="002B1CF2"/>
    <w:rsid w:val="002C2E7D"/>
    <w:rsid w:val="002D53D5"/>
    <w:rsid w:val="002D79D9"/>
    <w:rsid w:val="002E0FE3"/>
    <w:rsid w:val="002E338E"/>
    <w:rsid w:val="002E7497"/>
    <w:rsid w:val="002F376C"/>
    <w:rsid w:val="0031507F"/>
    <w:rsid w:val="003349FF"/>
    <w:rsid w:val="003411B5"/>
    <w:rsid w:val="00347D44"/>
    <w:rsid w:val="00356607"/>
    <w:rsid w:val="00362E6A"/>
    <w:rsid w:val="003715FD"/>
    <w:rsid w:val="00373328"/>
    <w:rsid w:val="00374649"/>
    <w:rsid w:val="00384DFE"/>
    <w:rsid w:val="003A1D1E"/>
    <w:rsid w:val="003A4682"/>
    <w:rsid w:val="003A679B"/>
    <w:rsid w:val="003E038C"/>
    <w:rsid w:val="00405732"/>
    <w:rsid w:val="00421E69"/>
    <w:rsid w:val="004278AC"/>
    <w:rsid w:val="00440587"/>
    <w:rsid w:val="00460383"/>
    <w:rsid w:val="00471A15"/>
    <w:rsid w:val="00476B6E"/>
    <w:rsid w:val="0048288E"/>
    <w:rsid w:val="0049737A"/>
    <w:rsid w:val="004A0BD2"/>
    <w:rsid w:val="004A41B4"/>
    <w:rsid w:val="004E2DA8"/>
    <w:rsid w:val="004E6E2A"/>
    <w:rsid w:val="004F7D8B"/>
    <w:rsid w:val="00523DD4"/>
    <w:rsid w:val="00540638"/>
    <w:rsid w:val="005636A2"/>
    <w:rsid w:val="00566AEA"/>
    <w:rsid w:val="00582371"/>
    <w:rsid w:val="00586DD2"/>
    <w:rsid w:val="00590194"/>
    <w:rsid w:val="005A2254"/>
    <w:rsid w:val="005A3238"/>
    <w:rsid w:val="005A35BD"/>
    <w:rsid w:val="005B245D"/>
    <w:rsid w:val="005B5981"/>
    <w:rsid w:val="00605BA9"/>
    <w:rsid w:val="0063264D"/>
    <w:rsid w:val="00641BB4"/>
    <w:rsid w:val="00644A06"/>
    <w:rsid w:val="0064751A"/>
    <w:rsid w:val="00660964"/>
    <w:rsid w:val="00664E9B"/>
    <w:rsid w:val="006700B6"/>
    <w:rsid w:val="00677A49"/>
    <w:rsid w:val="006909F4"/>
    <w:rsid w:val="00693C19"/>
    <w:rsid w:val="00694BB7"/>
    <w:rsid w:val="006A34D1"/>
    <w:rsid w:val="006F7F2F"/>
    <w:rsid w:val="00705295"/>
    <w:rsid w:val="0070765B"/>
    <w:rsid w:val="00712931"/>
    <w:rsid w:val="007243F8"/>
    <w:rsid w:val="00730643"/>
    <w:rsid w:val="0074728B"/>
    <w:rsid w:val="00752C48"/>
    <w:rsid w:val="00780B0A"/>
    <w:rsid w:val="007A1B6A"/>
    <w:rsid w:val="007A272E"/>
    <w:rsid w:val="007A5EE9"/>
    <w:rsid w:val="007B233A"/>
    <w:rsid w:val="007C311D"/>
    <w:rsid w:val="007E2AE1"/>
    <w:rsid w:val="007E35F0"/>
    <w:rsid w:val="0081755B"/>
    <w:rsid w:val="00837253"/>
    <w:rsid w:val="00867C27"/>
    <w:rsid w:val="00881555"/>
    <w:rsid w:val="008B57EA"/>
    <w:rsid w:val="008D54F1"/>
    <w:rsid w:val="008F0979"/>
    <w:rsid w:val="00904305"/>
    <w:rsid w:val="009100C6"/>
    <w:rsid w:val="009565FD"/>
    <w:rsid w:val="00971393"/>
    <w:rsid w:val="00977963"/>
    <w:rsid w:val="009A1490"/>
    <w:rsid w:val="009C7E48"/>
    <w:rsid w:val="009D15F4"/>
    <w:rsid w:val="009D5D50"/>
    <w:rsid w:val="00A06AEE"/>
    <w:rsid w:val="00A72636"/>
    <w:rsid w:val="00A72F57"/>
    <w:rsid w:val="00A77B3D"/>
    <w:rsid w:val="00A87FBF"/>
    <w:rsid w:val="00A91050"/>
    <w:rsid w:val="00A92D0C"/>
    <w:rsid w:val="00AC5160"/>
    <w:rsid w:val="00AE5760"/>
    <w:rsid w:val="00AE7C68"/>
    <w:rsid w:val="00AF41D5"/>
    <w:rsid w:val="00B0226C"/>
    <w:rsid w:val="00B02596"/>
    <w:rsid w:val="00B02C5B"/>
    <w:rsid w:val="00B22C0F"/>
    <w:rsid w:val="00B31E96"/>
    <w:rsid w:val="00B339BF"/>
    <w:rsid w:val="00B43E57"/>
    <w:rsid w:val="00B44BF5"/>
    <w:rsid w:val="00B4745A"/>
    <w:rsid w:val="00B50290"/>
    <w:rsid w:val="00B70BAD"/>
    <w:rsid w:val="00B74417"/>
    <w:rsid w:val="00B74F1F"/>
    <w:rsid w:val="00B84FB2"/>
    <w:rsid w:val="00B969BE"/>
    <w:rsid w:val="00BA034E"/>
    <w:rsid w:val="00BA4944"/>
    <w:rsid w:val="00BA6774"/>
    <w:rsid w:val="00BB1F96"/>
    <w:rsid w:val="00BB5E6A"/>
    <w:rsid w:val="00BD3538"/>
    <w:rsid w:val="00BF52E4"/>
    <w:rsid w:val="00C04FCE"/>
    <w:rsid w:val="00C0509B"/>
    <w:rsid w:val="00C12B1C"/>
    <w:rsid w:val="00C22508"/>
    <w:rsid w:val="00C27685"/>
    <w:rsid w:val="00C341B7"/>
    <w:rsid w:val="00C4444D"/>
    <w:rsid w:val="00C81BB0"/>
    <w:rsid w:val="00C85431"/>
    <w:rsid w:val="00C85991"/>
    <w:rsid w:val="00C90F73"/>
    <w:rsid w:val="00C9430B"/>
    <w:rsid w:val="00C94ACD"/>
    <w:rsid w:val="00CA34A5"/>
    <w:rsid w:val="00CC4324"/>
    <w:rsid w:val="00CC4795"/>
    <w:rsid w:val="00CD26D3"/>
    <w:rsid w:val="00CD79DD"/>
    <w:rsid w:val="00CE0EDC"/>
    <w:rsid w:val="00D418B4"/>
    <w:rsid w:val="00D731C1"/>
    <w:rsid w:val="00DB1BBB"/>
    <w:rsid w:val="00DC40DD"/>
    <w:rsid w:val="00DE275C"/>
    <w:rsid w:val="00DE2E27"/>
    <w:rsid w:val="00E035D2"/>
    <w:rsid w:val="00E1026C"/>
    <w:rsid w:val="00E21B22"/>
    <w:rsid w:val="00E521BE"/>
    <w:rsid w:val="00E5757C"/>
    <w:rsid w:val="00E6187D"/>
    <w:rsid w:val="00E62C8B"/>
    <w:rsid w:val="00E64A5C"/>
    <w:rsid w:val="00E86DAC"/>
    <w:rsid w:val="00E93AA6"/>
    <w:rsid w:val="00EC1CF5"/>
    <w:rsid w:val="00EF3581"/>
    <w:rsid w:val="00F0085F"/>
    <w:rsid w:val="00F02433"/>
    <w:rsid w:val="00F20B1A"/>
    <w:rsid w:val="00F23FF4"/>
    <w:rsid w:val="00F60F9B"/>
    <w:rsid w:val="00F836AC"/>
    <w:rsid w:val="00FB4C5D"/>
    <w:rsid w:val="00FC1081"/>
    <w:rsid w:val="00FC24CA"/>
    <w:rsid w:val="00FE0566"/>
    <w:rsid w:val="00FE5D9C"/>
    <w:rsid w:val="00FF3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0C"/>
    <w:rPr>
      <w:rFonts w:ascii="Garamond" w:hAnsi="Garamond"/>
      <w:sz w:val="24"/>
    </w:rPr>
  </w:style>
  <w:style w:type="paragraph" w:styleId="Heading1">
    <w:name w:val="heading 1"/>
    <w:basedOn w:val="Normal"/>
    <w:next w:val="Normal"/>
    <w:link w:val="Heading1Char"/>
    <w:uiPriority w:val="9"/>
    <w:qFormat/>
    <w:rsid w:val="00497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26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25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790C"/>
    <w:pPr>
      <w:spacing w:after="0" w:line="240" w:lineRule="auto"/>
    </w:pPr>
    <w:rPr>
      <w:rFonts w:ascii="Garamond" w:hAnsi="Garamond"/>
      <w:sz w:val="24"/>
    </w:rPr>
  </w:style>
  <w:style w:type="character" w:customStyle="1" w:styleId="Heading1Char">
    <w:name w:val="Heading 1 Char"/>
    <w:basedOn w:val="DefaultParagraphFont"/>
    <w:link w:val="Heading1"/>
    <w:uiPriority w:val="9"/>
    <w:rsid w:val="0049737A"/>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1F790C"/>
    <w:pPr>
      <w:spacing w:after="0" w:line="240" w:lineRule="auto"/>
      <w:contextualSpacing/>
    </w:pPr>
    <w:rPr>
      <w:bCs/>
      <w:szCs w:val="18"/>
    </w:rPr>
  </w:style>
  <w:style w:type="paragraph" w:styleId="ListParagraph">
    <w:name w:val="List Paragraph"/>
    <w:basedOn w:val="Normal"/>
    <w:uiPriority w:val="34"/>
    <w:qFormat/>
    <w:rsid w:val="001F790C"/>
    <w:pPr>
      <w:ind w:left="720"/>
      <w:contextualSpacing/>
    </w:pPr>
  </w:style>
  <w:style w:type="paragraph" w:styleId="BalloonText">
    <w:name w:val="Balloon Text"/>
    <w:basedOn w:val="Normal"/>
    <w:link w:val="BalloonTextChar"/>
    <w:uiPriority w:val="99"/>
    <w:semiHidden/>
    <w:unhideWhenUsed/>
    <w:rsid w:val="0073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643"/>
    <w:rPr>
      <w:rFonts w:ascii="Tahoma" w:hAnsi="Tahoma" w:cs="Tahoma"/>
      <w:sz w:val="16"/>
      <w:szCs w:val="16"/>
    </w:rPr>
  </w:style>
  <w:style w:type="paragraph" w:styleId="Title">
    <w:name w:val="Title"/>
    <w:basedOn w:val="Normal"/>
    <w:next w:val="Normal"/>
    <w:link w:val="TitleChar"/>
    <w:uiPriority w:val="10"/>
    <w:qFormat/>
    <w:rsid w:val="007306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064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30643"/>
    <w:rPr>
      <w:sz w:val="16"/>
      <w:szCs w:val="16"/>
    </w:rPr>
  </w:style>
  <w:style w:type="paragraph" w:styleId="CommentText">
    <w:name w:val="annotation text"/>
    <w:basedOn w:val="Normal"/>
    <w:link w:val="CommentTextChar"/>
    <w:uiPriority w:val="99"/>
    <w:semiHidden/>
    <w:unhideWhenUsed/>
    <w:rsid w:val="00730643"/>
    <w:pPr>
      <w:spacing w:line="240" w:lineRule="auto"/>
    </w:pPr>
    <w:rPr>
      <w:sz w:val="20"/>
      <w:szCs w:val="20"/>
    </w:rPr>
  </w:style>
  <w:style w:type="character" w:customStyle="1" w:styleId="CommentTextChar">
    <w:name w:val="Comment Text Char"/>
    <w:basedOn w:val="DefaultParagraphFont"/>
    <w:link w:val="CommentText"/>
    <w:uiPriority w:val="99"/>
    <w:semiHidden/>
    <w:rsid w:val="00730643"/>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730643"/>
    <w:rPr>
      <w:b/>
      <w:bCs/>
    </w:rPr>
  </w:style>
  <w:style w:type="character" w:customStyle="1" w:styleId="CommentSubjectChar">
    <w:name w:val="Comment Subject Char"/>
    <w:basedOn w:val="CommentTextChar"/>
    <w:link w:val="CommentSubject"/>
    <w:uiPriority w:val="99"/>
    <w:semiHidden/>
    <w:rsid w:val="00730643"/>
    <w:rPr>
      <w:b/>
      <w:bCs/>
    </w:rPr>
  </w:style>
  <w:style w:type="paragraph" w:styleId="Revision">
    <w:name w:val="Revision"/>
    <w:hidden/>
    <w:uiPriority w:val="99"/>
    <w:semiHidden/>
    <w:rsid w:val="00660964"/>
    <w:pPr>
      <w:spacing w:after="0" w:line="240" w:lineRule="auto"/>
    </w:pPr>
    <w:rPr>
      <w:rFonts w:ascii="Garamond" w:hAnsi="Garamond"/>
      <w:sz w:val="24"/>
    </w:rPr>
  </w:style>
  <w:style w:type="character" w:customStyle="1" w:styleId="Heading2Char">
    <w:name w:val="Heading 2 Char"/>
    <w:basedOn w:val="DefaultParagraphFont"/>
    <w:link w:val="Heading2"/>
    <w:uiPriority w:val="9"/>
    <w:rsid w:val="00CD26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2580"/>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semiHidden/>
    <w:unhideWhenUsed/>
    <w:rsid w:val="00C854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431"/>
    <w:rPr>
      <w:rFonts w:ascii="Garamond" w:hAnsi="Garamond"/>
      <w:sz w:val="24"/>
    </w:rPr>
  </w:style>
  <w:style w:type="paragraph" w:styleId="Footer">
    <w:name w:val="footer"/>
    <w:basedOn w:val="Normal"/>
    <w:link w:val="FooterChar"/>
    <w:uiPriority w:val="99"/>
    <w:unhideWhenUsed/>
    <w:rsid w:val="00C8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431"/>
    <w:rPr>
      <w:rFonts w:ascii="Garamond" w:hAnsi="Garamond"/>
      <w:sz w:val="24"/>
    </w:rPr>
  </w:style>
  <w:style w:type="character" w:styleId="Hyperlink">
    <w:name w:val="Hyperlink"/>
    <w:basedOn w:val="DefaultParagraphFont"/>
    <w:uiPriority w:val="99"/>
    <w:unhideWhenUsed/>
    <w:rsid w:val="00140471"/>
    <w:rPr>
      <w:color w:val="0000FF" w:themeColor="hyperlink"/>
      <w:u w:val="single"/>
    </w:rPr>
  </w:style>
  <w:style w:type="character" w:styleId="FollowedHyperlink">
    <w:name w:val="FollowedHyperlink"/>
    <w:basedOn w:val="DefaultParagraphFont"/>
    <w:uiPriority w:val="99"/>
    <w:semiHidden/>
    <w:unhideWhenUsed/>
    <w:rsid w:val="007A27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every1graduates.org/maciver-martha/item/93-advancing-the-%E2%80%9Ccolorado-graduates%E2%80%9D-agenda-understanding-the-dropout-problem-and-mobilizing-to-meet-the-graduation-challeng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archives.ednewscolorado.org/resources/1/Hopkins-full%20study.pdf" TargetMode="External"/><Relationship Id="rId2" Type="http://schemas.openxmlformats.org/officeDocument/2006/relationships/numbering" Target="numbering.xml"/><Relationship Id="rId16" Type="http://schemas.openxmlformats.org/officeDocument/2006/relationships/hyperlink" Target="http://ies.ed.gov/ncee/wwc" TargetMode="External"/><Relationship Id="rId20" Type="http://schemas.openxmlformats.org/officeDocument/2006/relationships/hyperlink" Target="http://www.pyninc.org/projectuturn/abou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ate.tn.us/education/safe_schls/dropout/doc/FinalEarlyWarningIndicatorAnalysis.PDF" TargetMode="External"/><Relationship Id="rId10" Type="http://schemas.openxmlformats.org/officeDocument/2006/relationships/header" Target="header1.xml"/><Relationship Id="rId19" Type="http://schemas.openxmlformats.org/officeDocument/2006/relationships/hyperlink" Target="http://www.betterhighschools.org/EWS_tool.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csr.uchicago.edu/content/publications.php?pub_id=1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C94A-E2CB-4835-BC77-F9CB1F76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dc:creator>
  <cp:lastModifiedBy>tcherasaro</cp:lastModifiedBy>
  <cp:revision>2</cp:revision>
  <cp:lastPrinted>2011-11-01T13:37:00Z</cp:lastPrinted>
  <dcterms:created xsi:type="dcterms:W3CDTF">2011-12-21T22:30:00Z</dcterms:created>
  <dcterms:modified xsi:type="dcterms:W3CDTF">2011-12-21T22:30:00Z</dcterms:modified>
</cp:coreProperties>
</file>