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C4" w:rsidRDefault="001763C4" w:rsidP="007F78FD">
      <w:pPr>
        <w:jc w:val="center"/>
        <w:rPr>
          <w:b/>
        </w:rPr>
      </w:pPr>
      <w:r>
        <w:rPr>
          <w:b/>
          <w:noProof/>
        </w:rPr>
        <w:drawing>
          <wp:inline distT="0" distB="0" distL="0" distR="0">
            <wp:extent cx="2325629" cy="697993"/>
            <wp:effectExtent l="19050" t="0" r="0" b="0"/>
            <wp:docPr id="4" name="Picture 3" descr="CDE_Logo_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Center.png"/>
                    <pic:cNvPicPr/>
                  </pic:nvPicPr>
                  <pic:blipFill>
                    <a:blip r:embed="rId8" cstate="print"/>
                    <a:stretch>
                      <a:fillRect/>
                    </a:stretch>
                  </pic:blipFill>
                  <pic:spPr>
                    <a:xfrm>
                      <a:off x="0" y="0"/>
                      <a:ext cx="2325629" cy="697993"/>
                    </a:xfrm>
                    <a:prstGeom prst="rect">
                      <a:avLst/>
                    </a:prstGeom>
                  </pic:spPr>
                </pic:pic>
              </a:graphicData>
            </a:graphic>
          </wp:inline>
        </w:drawing>
      </w:r>
    </w:p>
    <w:p w:rsidR="001763C4" w:rsidRDefault="001763C4" w:rsidP="007F78FD">
      <w:pPr>
        <w:jc w:val="center"/>
        <w:rPr>
          <w:b/>
        </w:rPr>
      </w:pPr>
    </w:p>
    <w:p w:rsidR="007F78FD" w:rsidRPr="00464485" w:rsidRDefault="007F78FD" w:rsidP="007F78FD">
      <w:pPr>
        <w:jc w:val="center"/>
        <w:rPr>
          <w:rFonts w:ascii="Palatino Linotype" w:hAnsi="Palatino Linotype"/>
          <w:b/>
          <w:sz w:val="28"/>
          <w:szCs w:val="28"/>
        </w:rPr>
      </w:pPr>
      <w:r w:rsidRPr="00464485">
        <w:rPr>
          <w:rFonts w:ascii="Palatino Linotype" w:hAnsi="Palatino Linotype"/>
          <w:b/>
          <w:sz w:val="28"/>
          <w:szCs w:val="28"/>
        </w:rPr>
        <w:t>Public School Finance Unit</w:t>
      </w:r>
    </w:p>
    <w:p w:rsidR="00F551BD" w:rsidRPr="001763C4" w:rsidRDefault="00F551BD" w:rsidP="007F78FD">
      <w:pPr>
        <w:jc w:val="center"/>
        <w:rPr>
          <w:rFonts w:asciiTheme="minorHAnsi" w:hAnsiTheme="minorHAnsi"/>
          <w:sz w:val="22"/>
          <w:szCs w:val="22"/>
        </w:rPr>
      </w:pPr>
    </w:p>
    <w:p w:rsidR="00F551BD" w:rsidRPr="00464485" w:rsidRDefault="00430153" w:rsidP="007F78FD">
      <w:pPr>
        <w:jc w:val="center"/>
        <w:rPr>
          <w:rFonts w:asciiTheme="minorHAnsi" w:hAnsiTheme="minorHAnsi"/>
          <w:b/>
        </w:rPr>
      </w:pPr>
      <w:r w:rsidRPr="00464485">
        <w:rPr>
          <w:rFonts w:asciiTheme="minorHAnsi" w:hAnsiTheme="minorHAnsi"/>
          <w:b/>
        </w:rPr>
        <w:t>Summary</w:t>
      </w:r>
      <w:r w:rsidR="00E32934" w:rsidRPr="00464485">
        <w:rPr>
          <w:rFonts w:asciiTheme="minorHAnsi" w:hAnsiTheme="minorHAnsi"/>
          <w:b/>
        </w:rPr>
        <w:t xml:space="preserve"> </w:t>
      </w:r>
      <w:r w:rsidR="00324DEC" w:rsidRPr="00464485">
        <w:rPr>
          <w:rFonts w:asciiTheme="minorHAnsi" w:hAnsiTheme="minorHAnsi"/>
          <w:b/>
        </w:rPr>
        <w:t>HB</w:t>
      </w:r>
      <w:bookmarkStart w:id="0" w:name="_GoBack"/>
      <w:bookmarkEnd w:id="0"/>
      <w:r w:rsidR="00324DEC" w:rsidRPr="00464485">
        <w:rPr>
          <w:rFonts w:asciiTheme="minorHAnsi" w:hAnsiTheme="minorHAnsi"/>
          <w:b/>
        </w:rPr>
        <w:t>14-1298</w:t>
      </w:r>
    </w:p>
    <w:p w:rsidR="00CB4078" w:rsidRPr="00464485" w:rsidRDefault="00E32934" w:rsidP="007F78FD">
      <w:pPr>
        <w:jc w:val="center"/>
        <w:rPr>
          <w:rFonts w:asciiTheme="minorHAnsi" w:hAnsiTheme="minorHAnsi"/>
          <w:b/>
        </w:rPr>
      </w:pPr>
      <w:r w:rsidRPr="00464485">
        <w:rPr>
          <w:rFonts w:asciiTheme="minorHAnsi" w:hAnsiTheme="minorHAnsi"/>
          <w:b/>
        </w:rPr>
        <w:t xml:space="preserve">Introduced </w:t>
      </w:r>
      <w:r w:rsidR="00324DEC" w:rsidRPr="00464485">
        <w:rPr>
          <w:rFonts w:asciiTheme="minorHAnsi" w:hAnsiTheme="minorHAnsi"/>
          <w:b/>
        </w:rPr>
        <w:t>February 28, 2014</w:t>
      </w:r>
    </w:p>
    <w:p w:rsidR="00F15DEA" w:rsidRPr="00464485" w:rsidRDefault="00F15DEA" w:rsidP="007F78FD">
      <w:pPr>
        <w:jc w:val="center"/>
        <w:rPr>
          <w:rFonts w:asciiTheme="minorHAnsi" w:hAnsiTheme="minorHAnsi"/>
          <w:b/>
          <w:color w:val="FF0000"/>
        </w:rPr>
      </w:pPr>
      <w:r w:rsidRPr="00464485">
        <w:rPr>
          <w:rFonts w:asciiTheme="minorHAnsi" w:hAnsiTheme="minorHAnsi"/>
          <w:b/>
          <w:color w:val="FF0000"/>
        </w:rPr>
        <w:t>Amended House Education – March 19, 2014</w:t>
      </w:r>
    </w:p>
    <w:p w:rsidR="00464485" w:rsidRDefault="00464485" w:rsidP="007F78FD">
      <w:pPr>
        <w:jc w:val="center"/>
        <w:rPr>
          <w:rFonts w:asciiTheme="minorHAnsi" w:hAnsiTheme="minorHAnsi"/>
          <w:b/>
          <w:color w:val="197A9B"/>
        </w:rPr>
      </w:pPr>
      <w:r w:rsidRPr="00464485">
        <w:rPr>
          <w:rFonts w:asciiTheme="minorHAnsi" w:hAnsiTheme="minorHAnsi"/>
          <w:b/>
          <w:color w:val="197A9B"/>
        </w:rPr>
        <w:t>Amended House Appropriations – April 8, 2014</w:t>
      </w:r>
    </w:p>
    <w:p w:rsidR="00536650" w:rsidRDefault="00536650" w:rsidP="00536650">
      <w:pPr>
        <w:jc w:val="center"/>
        <w:rPr>
          <w:rFonts w:asciiTheme="minorHAnsi" w:hAnsiTheme="minorHAnsi"/>
          <w:b/>
          <w:color w:val="785F55"/>
        </w:rPr>
      </w:pPr>
      <w:r w:rsidRPr="00536650">
        <w:rPr>
          <w:rFonts w:asciiTheme="minorHAnsi" w:hAnsiTheme="minorHAnsi"/>
          <w:b/>
          <w:color w:val="785F55"/>
        </w:rPr>
        <w:t>Amended House - Second Reading – April 9, 2014</w:t>
      </w:r>
    </w:p>
    <w:p w:rsidR="00216D84" w:rsidRDefault="00216D84" w:rsidP="00536650">
      <w:pPr>
        <w:jc w:val="center"/>
        <w:rPr>
          <w:rFonts w:asciiTheme="minorHAnsi" w:hAnsiTheme="minorHAnsi"/>
          <w:b/>
          <w:color w:val="76923C" w:themeColor="accent3" w:themeShade="BF"/>
        </w:rPr>
      </w:pPr>
      <w:r>
        <w:rPr>
          <w:rFonts w:asciiTheme="minorHAnsi" w:hAnsiTheme="minorHAnsi"/>
          <w:b/>
          <w:color w:val="76923C" w:themeColor="accent3" w:themeShade="BF"/>
        </w:rPr>
        <w:t xml:space="preserve">Amended Senate Education and </w:t>
      </w:r>
      <w:proofErr w:type="spellStart"/>
      <w:r>
        <w:rPr>
          <w:rFonts w:asciiTheme="minorHAnsi" w:hAnsiTheme="minorHAnsi"/>
          <w:b/>
          <w:color w:val="76923C" w:themeColor="accent3" w:themeShade="BF"/>
        </w:rPr>
        <w:t>Unamended</w:t>
      </w:r>
      <w:proofErr w:type="spellEnd"/>
      <w:r>
        <w:rPr>
          <w:rFonts w:asciiTheme="minorHAnsi" w:hAnsiTheme="minorHAnsi"/>
          <w:b/>
          <w:color w:val="76923C" w:themeColor="accent3" w:themeShade="BF"/>
        </w:rPr>
        <w:t xml:space="preserve"> Senate Finance – April 17 - 22, 2014</w:t>
      </w:r>
    </w:p>
    <w:p w:rsidR="00073EE9" w:rsidRDefault="00073EE9" w:rsidP="00536650">
      <w:pPr>
        <w:jc w:val="center"/>
        <w:rPr>
          <w:rFonts w:asciiTheme="minorHAnsi" w:hAnsiTheme="minorHAnsi"/>
          <w:b/>
          <w:color w:val="8064A2" w:themeColor="accent4"/>
        </w:rPr>
      </w:pPr>
      <w:r>
        <w:rPr>
          <w:rFonts w:asciiTheme="minorHAnsi" w:hAnsiTheme="minorHAnsi"/>
          <w:b/>
          <w:color w:val="8064A2" w:themeColor="accent4"/>
        </w:rPr>
        <w:t>Amended Senate Appropriations – April 25, 2014</w:t>
      </w:r>
    </w:p>
    <w:p w:rsidR="00554EEB" w:rsidRDefault="00554EEB" w:rsidP="00536650">
      <w:pPr>
        <w:jc w:val="center"/>
        <w:rPr>
          <w:rFonts w:asciiTheme="minorHAnsi" w:hAnsiTheme="minorHAnsi"/>
          <w:b/>
          <w:color w:val="E36C0A" w:themeColor="accent6" w:themeShade="BF"/>
        </w:rPr>
      </w:pPr>
      <w:r>
        <w:rPr>
          <w:rFonts w:asciiTheme="minorHAnsi" w:hAnsiTheme="minorHAnsi"/>
          <w:b/>
          <w:color w:val="E36C0A" w:themeColor="accent6" w:themeShade="BF"/>
        </w:rPr>
        <w:t>Amended Senate – Second Reading – April 29, 2014</w:t>
      </w:r>
      <w:r w:rsidR="00A400F1">
        <w:rPr>
          <w:rFonts w:asciiTheme="minorHAnsi" w:hAnsiTheme="minorHAnsi"/>
          <w:b/>
          <w:color w:val="E36C0A" w:themeColor="accent6" w:themeShade="BF"/>
        </w:rPr>
        <w:t xml:space="preserve"> passed Third Reading April 30</w:t>
      </w:r>
    </w:p>
    <w:p w:rsidR="00BA7398" w:rsidRPr="00BA7398" w:rsidRDefault="00BA7398" w:rsidP="00536650">
      <w:pPr>
        <w:jc w:val="center"/>
        <w:rPr>
          <w:rFonts w:asciiTheme="minorHAnsi" w:hAnsiTheme="minorHAnsi"/>
          <w:b/>
          <w:color w:val="DF0FC1"/>
        </w:rPr>
      </w:pPr>
      <w:r w:rsidRPr="00BA7398">
        <w:rPr>
          <w:rFonts w:asciiTheme="minorHAnsi" w:hAnsiTheme="minorHAnsi"/>
          <w:b/>
          <w:color w:val="DF0FC1"/>
        </w:rPr>
        <w:t>Amended – Conference Committee – Concurred and Passed May 7, 2014</w:t>
      </w:r>
    </w:p>
    <w:p w:rsidR="00536650" w:rsidRDefault="00536650" w:rsidP="007F78FD">
      <w:pPr>
        <w:jc w:val="center"/>
        <w:rPr>
          <w:rFonts w:asciiTheme="minorHAnsi" w:hAnsiTheme="minorHAnsi"/>
          <w:b/>
          <w:color w:val="197A9B"/>
        </w:rPr>
      </w:pPr>
    </w:p>
    <w:p w:rsidR="007F78FD" w:rsidRPr="001763C4" w:rsidRDefault="007F78FD" w:rsidP="007F78FD">
      <w:pPr>
        <w:jc w:val="center"/>
        <w:rPr>
          <w:rFonts w:asciiTheme="minorHAnsi" w:hAnsiTheme="minorHAnsi"/>
          <w:sz w:val="22"/>
          <w:szCs w:val="22"/>
        </w:rPr>
      </w:pPr>
    </w:p>
    <w:p w:rsidR="007F78FD" w:rsidRPr="00464485" w:rsidRDefault="007F78FD" w:rsidP="007F78FD">
      <w:pPr>
        <w:jc w:val="center"/>
        <w:rPr>
          <w:rFonts w:asciiTheme="minorHAnsi" w:hAnsiTheme="minorHAnsi"/>
          <w:b/>
        </w:rPr>
      </w:pPr>
      <w:r w:rsidRPr="00464485">
        <w:rPr>
          <w:rFonts w:asciiTheme="minorHAnsi" w:hAnsiTheme="minorHAnsi"/>
          <w:b/>
        </w:rPr>
        <w:t>CONCERNING THE FINANCING OF PUBLIC SCHOOLS</w:t>
      </w:r>
    </w:p>
    <w:p w:rsidR="007F78FD" w:rsidRPr="001763C4" w:rsidRDefault="007F78FD" w:rsidP="007F78FD">
      <w:pPr>
        <w:jc w:val="center"/>
        <w:rPr>
          <w:rFonts w:asciiTheme="minorHAnsi" w:hAnsiTheme="minorHAnsi"/>
          <w:sz w:val="22"/>
          <w:szCs w:val="22"/>
        </w:rPr>
      </w:pPr>
      <w:r w:rsidRPr="001763C4">
        <w:rPr>
          <w:rFonts w:asciiTheme="minorHAnsi" w:hAnsiTheme="minorHAnsi"/>
          <w:sz w:val="22"/>
          <w:szCs w:val="22"/>
        </w:rPr>
        <w:t>(By summarizing the language in the bill, this does not alter the statutory language nor should it be considered legal advice in any way.  For detailed language, please see the applicable section within the bill.)</w:t>
      </w:r>
    </w:p>
    <w:p w:rsidR="007F78FD" w:rsidRPr="001763C4" w:rsidRDefault="007F78FD" w:rsidP="007F78FD">
      <w:pPr>
        <w:jc w:val="center"/>
        <w:rPr>
          <w:rFonts w:asciiTheme="minorHAnsi" w:hAnsiTheme="minorHAnsi"/>
          <w:sz w:val="22"/>
          <w:szCs w:val="22"/>
        </w:rPr>
      </w:pPr>
    </w:p>
    <w:p w:rsidR="00577B00" w:rsidRPr="001763C4" w:rsidRDefault="00577B00" w:rsidP="007F78FD">
      <w:pPr>
        <w:rPr>
          <w:rFonts w:asciiTheme="minorHAnsi" w:hAnsiTheme="minorHAnsi"/>
          <w:b/>
          <w:sz w:val="22"/>
          <w:szCs w:val="22"/>
        </w:rPr>
      </w:pPr>
    </w:p>
    <w:p w:rsidR="007F78FD" w:rsidRPr="00464485" w:rsidRDefault="007F78FD" w:rsidP="007F78FD">
      <w:pPr>
        <w:rPr>
          <w:rFonts w:asciiTheme="minorHAnsi" w:hAnsiTheme="minorHAnsi"/>
          <w:b/>
        </w:rPr>
      </w:pPr>
      <w:r w:rsidRPr="00464485">
        <w:rPr>
          <w:rFonts w:asciiTheme="minorHAnsi" w:hAnsiTheme="minorHAnsi"/>
          <w:b/>
        </w:rPr>
        <w:t>ISSUE—FINANCE FORMULA</w:t>
      </w:r>
    </w:p>
    <w:p w:rsidR="007F78FD" w:rsidRPr="00464485" w:rsidRDefault="00BE2E3C" w:rsidP="007F78FD">
      <w:pPr>
        <w:rPr>
          <w:rFonts w:asciiTheme="minorHAnsi" w:hAnsiTheme="minorHAnsi"/>
          <w:b/>
        </w:rPr>
      </w:pPr>
      <w:r w:rsidRPr="00464485">
        <w:rPr>
          <w:rFonts w:asciiTheme="minorHAnsi" w:hAnsiTheme="minorHAnsi"/>
          <w:b/>
        </w:rPr>
        <w:t>Section</w:t>
      </w:r>
      <w:r w:rsidR="009601C8" w:rsidRPr="00464485">
        <w:rPr>
          <w:rFonts w:asciiTheme="minorHAnsi" w:hAnsiTheme="minorHAnsi"/>
          <w:b/>
        </w:rPr>
        <w:t>s</w:t>
      </w:r>
      <w:r w:rsidRPr="00464485">
        <w:rPr>
          <w:rFonts w:asciiTheme="minorHAnsi" w:hAnsiTheme="minorHAnsi"/>
          <w:b/>
        </w:rPr>
        <w:t xml:space="preserve"> 1</w:t>
      </w:r>
      <w:r w:rsidR="000760D5" w:rsidRPr="00464485">
        <w:rPr>
          <w:rFonts w:asciiTheme="minorHAnsi" w:hAnsiTheme="minorHAnsi"/>
          <w:b/>
        </w:rPr>
        <w:t xml:space="preserve"> &amp; 3</w:t>
      </w:r>
      <w:r w:rsidR="00527B57" w:rsidRPr="00464485">
        <w:rPr>
          <w:rFonts w:asciiTheme="minorHAnsi" w:hAnsiTheme="minorHAnsi"/>
          <w:b/>
        </w:rPr>
        <w:t xml:space="preserve"> (without passage of HB14-1292)</w:t>
      </w:r>
    </w:p>
    <w:p w:rsidR="0069349A" w:rsidRPr="001763C4" w:rsidRDefault="0069349A" w:rsidP="007F78FD">
      <w:pPr>
        <w:rPr>
          <w:rFonts w:asciiTheme="minorHAnsi" w:hAnsiTheme="minorHAnsi"/>
          <w:sz w:val="22"/>
          <w:szCs w:val="22"/>
        </w:rPr>
      </w:pPr>
    </w:p>
    <w:p w:rsidR="0069349A" w:rsidRPr="00464485" w:rsidRDefault="0069349A" w:rsidP="0069349A">
      <w:pPr>
        <w:rPr>
          <w:rFonts w:ascii="Palatino Linotype" w:hAnsi="Palatino Linotype"/>
          <w:sz w:val="20"/>
          <w:szCs w:val="20"/>
        </w:rPr>
      </w:pPr>
      <w:r w:rsidRPr="00464485">
        <w:rPr>
          <w:rFonts w:ascii="Palatino Linotype" w:hAnsi="Palatino Linotype"/>
          <w:sz w:val="20"/>
          <w:szCs w:val="20"/>
        </w:rPr>
        <w:t xml:space="preserve">Calculates statewide base per pupil funding to add for inflation </w:t>
      </w:r>
      <w:r w:rsidR="00324DEC" w:rsidRPr="00464485">
        <w:rPr>
          <w:rFonts w:ascii="Palatino Linotype" w:hAnsi="Palatino Linotype"/>
          <w:sz w:val="20"/>
          <w:szCs w:val="20"/>
        </w:rPr>
        <w:t>of 2.8</w:t>
      </w:r>
      <w:r w:rsidRPr="00464485">
        <w:rPr>
          <w:rFonts w:ascii="Palatino Linotype" w:hAnsi="Palatino Linotype"/>
          <w:sz w:val="20"/>
          <w:szCs w:val="20"/>
        </w:rPr>
        <w:t>%</w:t>
      </w:r>
    </w:p>
    <w:p w:rsidR="0069349A" w:rsidRPr="00464485" w:rsidRDefault="0069349A" w:rsidP="0069349A">
      <w:pPr>
        <w:rPr>
          <w:rFonts w:ascii="Palatino Linotype" w:hAnsi="Palatino Linotype"/>
          <w:sz w:val="20"/>
          <w:szCs w:val="20"/>
        </w:rPr>
      </w:pPr>
    </w:p>
    <w:tbl>
      <w:tblPr>
        <w:tblStyle w:val="TableGrid"/>
        <w:tblW w:w="0" w:type="auto"/>
        <w:tblInd w:w="1098" w:type="dxa"/>
        <w:tblLook w:val="04A0" w:firstRow="1" w:lastRow="0" w:firstColumn="1" w:lastColumn="0" w:noHBand="0" w:noVBand="1"/>
      </w:tblPr>
      <w:tblGrid>
        <w:gridCol w:w="3600"/>
        <w:gridCol w:w="2160"/>
      </w:tblGrid>
      <w:tr w:rsidR="00324DEC" w:rsidRPr="00464485" w:rsidTr="0069349A">
        <w:tc>
          <w:tcPr>
            <w:tcW w:w="3600" w:type="dxa"/>
          </w:tcPr>
          <w:p w:rsidR="00324DEC" w:rsidRPr="00464485" w:rsidRDefault="00324DEC" w:rsidP="00C25124">
            <w:pPr>
              <w:rPr>
                <w:rFonts w:ascii="Palatino Linotype" w:hAnsi="Palatino Linotype"/>
                <w:sz w:val="20"/>
                <w:szCs w:val="20"/>
              </w:rPr>
            </w:pPr>
            <w:r w:rsidRPr="00464485">
              <w:rPr>
                <w:rFonts w:ascii="Palatino Linotype" w:hAnsi="Palatino Linotype"/>
                <w:sz w:val="20"/>
                <w:szCs w:val="20"/>
              </w:rPr>
              <w:t>Base per pupil funding – 2013-14</w:t>
            </w:r>
          </w:p>
        </w:tc>
        <w:tc>
          <w:tcPr>
            <w:tcW w:w="2160" w:type="dxa"/>
          </w:tcPr>
          <w:p w:rsidR="00324DEC" w:rsidRPr="00464485" w:rsidRDefault="00324DEC" w:rsidP="00C25124">
            <w:pPr>
              <w:jc w:val="right"/>
              <w:rPr>
                <w:rFonts w:ascii="Palatino Linotype" w:hAnsi="Palatino Linotype"/>
                <w:sz w:val="20"/>
                <w:szCs w:val="20"/>
              </w:rPr>
            </w:pPr>
            <w:r w:rsidRPr="00464485">
              <w:rPr>
                <w:rFonts w:ascii="Palatino Linotype" w:hAnsi="Palatino Linotype"/>
                <w:sz w:val="20"/>
                <w:szCs w:val="20"/>
              </w:rPr>
              <w:t>$5,954.28</w:t>
            </w:r>
          </w:p>
        </w:tc>
      </w:tr>
      <w:tr w:rsidR="0069349A" w:rsidRPr="00464485" w:rsidTr="0069349A">
        <w:tc>
          <w:tcPr>
            <w:tcW w:w="3600" w:type="dxa"/>
          </w:tcPr>
          <w:p w:rsidR="0069349A" w:rsidRPr="00464485" w:rsidRDefault="00324DEC" w:rsidP="0069349A">
            <w:pPr>
              <w:rPr>
                <w:rFonts w:ascii="Palatino Linotype" w:hAnsi="Palatino Linotype"/>
                <w:sz w:val="20"/>
                <w:szCs w:val="20"/>
              </w:rPr>
            </w:pPr>
            <w:r w:rsidRPr="00464485">
              <w:rPr>
                <w:rFonts w:ascii="Palatino Linotype" w:hAnsi="Palatino Linotype"/>
                <w:sz w:val="20"/>
                <w:szCs w:val="20"/>
              </w:rPr>
              <w:t>Add 2.8</w:t>
            </w:r>
            <w:r w:rsidR="0069349A" w:rsidRPr="00464485">
              <w:rPr>
                <w:rFonts w:ascii="Palatino Linotype" w:hAnsi="Palatino Linotype"/>
                <w:sz w:val="20"/>
                <w:szCs w:val="20"/>
              </w:rPr>
              <w:t>% inflation</w:t>
            </w:r>
          </w:p>
        </w:tc>
        <w:tc>
          <w:tcPr>
            <w:tcW w:w="2160" w:type="dxa"/>
          </w:tcPr>
          <w:p w:rsidR="0069349A" w:rsidRPr="00464485" w:rsidRDefault="00324DEC" w:rsidP="0069349A">
            <w:pPr>
              <w:jc w:val="right"/>
              <w:rPr>
                <w:rFonts w:ascii="Palatino Linotype" w:hAnsi="Palatino Linotype"/>
                <w:sz w:val="20"/>
                <w:szCs w:val="20"/>
              </w:rPr>
            </w:pPr>
            <w:r w:rsidRPr="00464485">
              <w:rPr>
                <w:rFonts w:ascii="Palatino Linotype" w:hAnsi="Palatino Linotype"/>
                <w:sz w:val="20"/>
                <w:szCs w:val="20"/>
              </w:rPr>
              <w:t>166.72</w:t>
            </w:r>
          </w:p>
        </w:tc>
      </w:tr>
      <w:tr w:rsidR="0069349A" w:rsidRPr="00464485" w:rsidTr="0069349A">
        <w:tc>
          <w:tcPr>
            <w:tcW w:w="3600" w:type="dxa"/>
          </w:tcPr>
          <w:p w:rsidR="0069349A" w:rsidRPr="00464485" w:rsidRDefault="00324DEC" w:rsidP="0069349A">
            <w:pPr>
              <w:rPr>
                <w:rFonts w:ascii="Palatino Linotype" w:hAnsi="Palatino Linotype"/>
                <w:sz w:val="20"/>
                <w:szCs w:val="20"/>
              </w:rPr>
            </w:pPr>
            <w:r w:rsidRPr="00464485">
              <w:rPr>
                <w:rFonts w:ascii="Palatino Linotype" w:hAnsi="Palatino Linotype"/>
                <w:sz w:val="20"/>
                <w:szCs w:val="20"/>
              </w:rPr>
              <w:t>Base per pupil funding – 2014-15</w:t>
            </w:r>
          </w:p>
        </w:tc>
        <w:tc>
          <w:tcPr>
            <w:tcW w:w="2160" w:type="dxa"/>
          </w:tcPr>
          <w:p w:rsidR="0069349A" w:rsidRPr="00464485" w:rsidRDefault="00324DEC" w:rsidP="0069349A">
            <w:pPr>
              <w:jc w:val="right"/>
              <w:rPr>
                <w:rFonts w:ascii="Palatino Linotype" w:hAnsi="Palatino Linotype"/>
                <w:sz w:val="20"/>
                <w:szCs w:val="20"/>
              </w:rPr>
            </w:pPr>
            <w:r w:rsidRPr="00464485">
              <w:rPr>
                <w:rFonts w:ascii="Palatino Linotype" w:hAnsi="Palatino Linotype"/>
                <w:sz w:val="20"/>
                <w:szCs w:val="20"/>
              </w:rPr>
              <w:t>$6,121.00</w:t>
            </w:r>
          </w:p>
        </w:tc>
      </w:tr>
    </w:tbl>
    <w:p w:rsidR="0069349A" w:rsidRPr="00464485" w:rsidRDefault="0069349A" w:rsidP="0069349A">
      <w:pPr>
        <w:rPr>
          <w:rFonts w:ascii="Palatino Linotype" w:hAnsi="Palatino Linotype"/>
          <w:sz w:val="20"/>
          <w:szCs w:val="20"/>
        </w:rPr>
      </w:pPr>
    </w:p>
    <w:p w:rsidR="0069349A" w:rsidRPr="00464485" w:rsidRDefault="0069349A" w:rsidP="007F78FD">
      <w:pPr>
        <w:rPr>
          <w:rFonts w:ascii="Palatino Linotype" w:hAnsi="Palatino Linotype"/>
          <w:sz w:val="20"/>
          <w:szCs w:val="20"/>
        </w:rPr>
      </w:pPr>
    </w:p>
    <w:p w:rsidR="00A02C05" w:rsidRPr="00464485" w:rsidRDefault="002816E8" w:rsidP="00A02C05">
      <w:pPr>
        <w:rPr>
          <w:rFonts w:ascii="Palatino Linotype" w:hAnsi="Palatino Linotype"/>
          <w:color w:val="FF0000"/>
          <w:sz w:val="20"/>
          <w:szCs w:val="20"/>
        </w:rPr>
      </w:pPr>
      <w:r w:rsidRPr="00464485">
        <w:rPr>
          <w:rFonts w:ascii="Palatino Linotype" w:hAnsi="Palatino Linotype"/>
          <w:sz w:val="20"/>
          <w:szCs w:val="20"/>
        </w:rPr>
        <w:t xml:space="preserve">The bill </w:t>
      </w:r>
      <w:r w:rsidR="00E641AE" w:rsidRPr="00464485">
        <w:rPr>
          <w:rFonts w:ascii="Palatino Linotype" w:hAnsi="Palatino Linotype"/>
          <w:sz w:val="20"/>
          <w:szCs w:val="20"/>
        </w:rPr>
        <w:t>p</w:t>
      </w:r>
      <w:r w:rsidR="00F13B36" w:rsidRPr="00464485">
        <w:rPr>
          <w:rFonts w:ascii="Palatino Linotype" w:hAnsi="Palatino Linotype"/>
          <w:sz w:val="20"/>
          <w:szCs w:val="20"/>
        </w:rPr>
        <w:t xml:space="preserve">roposes Total Program Funding is not less than </w:t>
      </w:r>
      <w:r w:rsidR="000760D5" w:rsidRPr="00073EE9">
        <w:rPr>
          <w:rFonts w:ascii="Palatino Linotype" w:hAnsi="Palatino Linotype"/>
          <w:strike/>
          <w:sz w:val="20"/>
          <w:szCs w:val="20"/>
        </w:rPr>
        <w:t>$</w:t>
      </w:r>
      <w:proofErr w:type="gramStart"/>
      <w:r w:rsidR="000760D5" w:rsidRPr="00073EE9">
        <w:rPr>
          <w:rFonts w:ascii="Palatino Linotype" w:hAnsi="Palatino Linotype"/>
          <w:strike/>
          <w:sz w:val="20"/>
          <w:szCs w:val="20"/>
        </w:rPr>
        <w:t>5,775,143,042</w:t>
      </w:r>
      <w:r w:rsidR="00073EE9">
        <w:rPr>
          <w:rFonts w:ascii="Palatino Linotype" w:hAnsi="Palatino Linotype"/>
          <w:strike/>
          <w:sz w:val="20"/>
          <w:szCs w:val="20"/>
        </w:rPr>
        <w:t xml:space="preserve"> </w:t>
      </w:r>
      <w:r w:rsidR="00073EE9">
        <w:rPr>
          <w:rFonts w:ascii="Palatino Linotype" w:hAnsi="Palatino Linotype"/>
          <w:color w:val="8064A2" w:themeColor="accent4"/>
          <w:sz w:val="20"/>
          <w:szCs w:val="20"/>
        </w:rPr>
        <w:t xml:space="preserve"> </w:t>
      </w:r>
      <w:r w:rsidR="00073EE9" w:rsidRPr="00BA7398">
        <w:rPr>
          <w:rFonts w:ascii="Palatino Linotype" w:hAnsi="Palatino Linotype"/>
          <w:b/>
          <w:strike/>
          <w:color w:val="8064A2" w:themeColor="accent4"/>
          <w:sz w:val="20"/>
          <w:szCs w:val="20"/>
        </w:rPr>
        <w:t>$</w:t>
      </w:r>
      <w:proofErr w:type="gramEnd"/>
      <w:r w:rsidR="00073EE9" w:rsidRPr="00BA7398">
        <w:rPr>
          <w:rFonts w:ascii="Palatino Linotype" w:hAnsi="Palatino Linotype"/>
          <w:b/>
          <w:strike/>
          <w:color w:val="8064A2" w:themeColor="accent4"/>
          <w:sz w:val="20"/>
          <w:szCs w:val="20"/>
        </w:rPr>
        <w:t>5,785,202,169</w:t>
      </w:r>
      <w:r w:rsidR="00BA7398">
        <w:rPr>
          <w:rFonts w:ascii="Palatino Linotype" w:hAnsi="Palatino Linotype"/>
          <w:b/>
          <w:color w:val="8064A2" w:themeColor="accent4"/>
          <w:sz w:val="20"/>
          <w:szCs w:val="20"/>
        </w:rPr>
        <w:t xml:space="preserve"> </w:t>
      </w:r>
      <w:r w:rsidR="00BA7398" w:rsidRPr="00BA7398">
        <w:rPr>
          <w:rFonts w:ascii="Palatino Linotype" w:hAnsi="Palatino Linotype"/>
          <w:b/>
          <w:color w:val="DF0FC1"/>
          <w:sz w:val="20"/>
          <w:szCs w:val="20"/>
        </w:rPr>
        <w:t>$5,775,143,042</w:t>
      </w:r>
      <w:r w:rsidR="00F13B36" w:rsidRPr="00BA7398">
        <w:rPr>
          <w:rFonts w:ascii="Palatino Linotype" w:hAnsi="Palatino Linotype"/>
          <w:b/>
          <w:color w:val="DF0FC1"/>
          <w:sz w:val="20"/>
          <w:szCs w:val="20"/>
        </w:rPr>
        <w:t>.</w:t>
      </w:r>
      <w:r w:rsidR="00F13B36" w:rsidRPr="00464485">
        <w:rPr>
          <w:rFonts w:ascii="Palatino Linotype" w:hAnsi="Palatino Linotype"/>
          <w:sz w:val="20"/>
          <w:szCs w:val="20"/>
        </w:rPr>
        <w:t xml:space="preserve">  The </w:t>
      </w:r>
      <w:r w:rsidR="000760D5" w:rsidRPr="00464485">
        <w:rPr>
          <w:rFonts w:ascii="Palatino Linotype" w:hAnsi="Palatino Linotype"/>
          <w:sz w:val="20"/>
          <w:szCs w:val="20"/>
        </w:rPr>
        <w:t>bill eliminates the requirement that the state average per pupil revenues are adjusted by inflation.  The bill does not allow the negative factor to increase in 2015-16</w:t>
      </w:r>
      <w:r w:rsidR="00AF43D6" w:rsidRPr="00464485">
        <w:rPr>
          <w:rFonts w:ascii="Palatino Linotype" w:hAnsi="Palatino Linotype"/>
          <w:sz w:val="20"/>
          <w:szCs w:val="20"/>
        </w:rPr>
        <w:t xml:space="preserve"> from the amount established in HB14-1298</w:t>
      </w:r>
      <w:r w:rsidR="000760D5" w:rsidRPr="00464485">
        <w:rPr>
          <w:rFonts w:ascii="Palatino Linotype" w:hAnsi="Palatino Linotype"/>
          <w:sz w:val="20"/>
          <w:szCs w:val="20"/>
        </w:rPr>
        <w:t>.</w:t>
      </w:r>
      <w:r w:rsidR="00527B57" w:rsidRPr="00464485">
        <w:rPr>
          <w:rFonts w:ascii="Palatino Linotype" w:hAnsi="Palatino Linotype"/>
          <w:sz w:val="20"/>
          <w:szCs w:val="20"/>
        </w:rPr>
        <w:t xml:space="preserve">  This includes the provision outlined in section 6 below which increases funding for an additional Colorado preschool program (CPP) slots.</w:t>
      </w:r>
    </w:p>
    <w:p w:rsidR="009601C8" w:rsidRPr="001763C4" w:rsidRDefault="009601C8" w:rsidP="007F78FD">
      <w:pPr>
        <w:rPr>
          <w:rFonts w:asciiTheme="minorHAnsi" w:hAnsiTheme="minorHAnsi"/>
          <w:sz w:val="22"/>
          <w:szCs w:val="22"/>
        </w:rPr>
      </w:pPr>
    </w:p>
    <w:p w:rsidR="009601C8" w:rsidRPr="00464485" w:rsidRDefault="009601C8" w:rsidP="007F78FD">
      <w:pPr>
        <w:rPr>
          <w:rFonts w:asciiTheme="minorHAnsi" w:hAnsiTheme="minorHAnsi"/>
          <w:b/>
        </w:rPr>
      </w:pPr>
      <w:r w:rsidRPr="00464485">
        <w:rPr>
          <w:rFonts w:asciiTheme="minorHAnsi" w:hAnsiTheme="minorHAnsi"/>
          <w:b/>
        </w:rPr>
        <w:t xml:space="preserve">Section 2 </w:t>
      </w:r>
    </w:p>
    <w:p w:rsidR="001C6C63" w:rsidRPr="001763C4" w:rsidRDefault="001C6C63" w:rsidP="007F78FD">
      <w:pPr>
        <w:rPr>
          <w:rFonts w:asciiTheme="minorHAnsi" w:hAnsiTheme="minorHAnsi"/>
          <w:sz w:val="22"/>
          <w:szCs w:val="22"/>
        </w:rPr>
      </w:pPr>
    </w:p>
    <w:p w:rsidR="001C6C63" w:rsidRPr="00464485" w:rsidRDefault="00AE7DF5" w:rsidP="00527B57">
      <w:pPr>
        <w:autoSpaceDE w:val="0"/>
        <w:autoSpaceDN w:val="0"/>
        <w:adjustRightInd w:val="0"/>
        <w:rPr>
          <w:rFonts w:ascii="Palatino Linotype" w:hAnsi="Palatino Linotype"/>
          <w:sz w:val="20"/>
          <w:szCs w:val="20"/>
        </w:rPr>
      </w:pPr>
      <w:r w:rsidRPr="00464485">
        <w:rPr>
          <w:rFonts w:ascii="Palatino Linotype" w:hAnsi="Palatino Linotype"/>
          <w:sz w:val="20"/>
          <w:szCs w:val="20"/>
        </w:rPr>
        <w:t xml:space="preserve">This section provides a technical clarification </w:t>
      </w:r>
      <w:r w:rsidR="00527B57" w:rsidRPr="00464485">
        <w:rPr>
          <w:rFonts w:ascii="Palatino Linotype" w:hAnsi="Palatino Linotype"/>
          <w:sz w:val="20"/>
          <w:szCs w:val="20"/>
        </w:rPr>
        <w:t>regarding the method used to calculate the cost of living factor in years when average teacher salaries either decline or increase by less than 1 percent. See the</w:t>
      </w:r>
      <w:r w:rsidR="00527B57" w:rsidRPr="00464485">
        <w:rPr>
          <w:rFonts w:ascii="Palatino Linotype" w:hAnsi="Palatino Linotype" w:cs="Arial"/>
          <w:sz w:val="20"/>
          <w:szCs w:val="20"/>
        </w:rPr>
        <w:t xml:space="preserve"> </w:t>
      </w:r>
      <w:hyperlink r:id="rId9" w:history="1">
        <w:r w:rsidR="00527B57" w:rsidRPr="00464485">
          <w:rPr>
            <w:rStyle w:val="Hyperlink"/>
            <w:rFonts w:ascii="Palatino Linotype" w:hAnsi="Palatino Linotype" w:cs="Arial"/>
            <w:sz w:val="20"/>
            <w:szCs w:val="20"/>
          </w:rPr>
          <w:t>fiscal note</w:t>
        </w:r>
      </w:hyperlink>
      <w:r w:rsidR="00527B57" w:rsidRPr="00464485">
        <w:rPr>
          <w:rFonts w:ascii="Palatino Linotype" w:hAnsi="Palatino Linotype" w:cs="Arial"/>
          <w:sz w:val="20"/>
          <w:szCs w:val="20"/>
        </w:rPr>
        <w:t xml:space="preserve"> </w:t>
      </w:r>
      <w:r w:rsidR="00527B57" w:rsidRPr="00464485">
        <w:rPr>
          <w:rFonts w:ascii="Palatino Linotype" w:hAnsi="Palatino Linotype"/>
          <w:sz w:val="20"/>
          <w:szCs w:val="20"/>
        </w:rPr>
        <w:t xml:space="preserve">for more information.  </w:t>
      </w:r>
    </w:p>
    <w:p w:rsidR="00AE7DF5" w:rsidRDefault="00AE7DF5" w:rsidP="007F78FD">
      <w:pPr>
        <w:rPr>
          <w:rFonts w:asciiTheme="minorHAnsi" w:hAnsiTheme="minorHAnsi"/>
          <w:b/>
          <w:sz w:val="22"/>
          <w:szCs w:val="22"/>
        </w:rPr>
      </w:pPr>
    </w:p>
    <w:p w:rsidR="001C6C63" w:rsidRPr="00464485" w:rsidRDefault="009601C8" w:rsidP="007F78FD">
      <w:pPr>
        <w:rPr>
          <w:rFonts w:asciiTheme="minorHAnsi" w:hAnsiTheme="minorHAnsi"/>
          <w:b/>
        </w:rPr>
      </w:pPr>
      <w:r w:rsidRPr="00464485">
        <w:rPr>
          <w:rFonts w:asciiTheme="minorHAnsi" w:hAnsiTheme="minorHAnsi"/>
          <w:b/>
        </w:rPr>
        <w:t>Section 4</w:t>
      </w:r>
    </w:p>
    <w:p w:rsidR="0069349A" w:rsidRPr="001763C4" w:rsidRDefault="0069349A" w:rsidP="007F78FD">
      <w:pPr>
        <w:rPr>
          <w:rFonts w:asciiTheme="minorHAnsi" w:hAnsiTheme="minorHAnsi"/>
          <w:sz w:val="22"/>
          <w:szCs w:val="22"/>
        </w:rPr>
      </w:pPr>
    </w:p>
    <w:p w:rsidR="001C6C63" w:rsidRPr="00464485" w:rsidRDefault="00BA7398" w:rsidP="00CF3130">
      <w:pPr>
        <w:rPr>
          <w:rFonts w:ascii="Palatino Linotype" w:hAnsi="Palatino Linotype"/>
          <w:sz w:val="20"/>
          <w:szCs w:val="20"/>
        </w:rPr>
      </w:pPr>
      <w:r w:rsidRPr="00BA7398">
        <w:rPr>
          <w:rFonts w:ascii="Palatino Linotype" w:hAnsi="Palatino Linotype"/>
          <w:color w:val="DF0FC1"/>
          <w:sz w:val="20"/>
          <w:szCs w:val="20"/>
        </w:rPr>
        <w:lastRenderedPageBreak/>
        <w:t xml:space="preserve">Since HB14-1292 passed, </w:t>
      </w:r>
      <w:r w:rsidR="00766505" w:rsidRPr="00464485">
        <w:rPr>
          <w:rFonts w:ascii="Palatino Linotype" w:hAnsi="Palatino Linotype"/>
          <w:sz w:val="20"/>
          <w:szCs w:val="20"/>
        </w:rPr>
        <w:t>(Student Success Act)</w:t>
      </w:r>
      <w:r w:rsidR="000760D5" w:rsidRPr="00464485">
        <w:rPr>
          <w:rFonts w:ascii="Palatino Linotype" w:hAnsi="Palatino Linotype"/>
          <w:sz w:val="20"/>
          <w:szCs w:val="20"/>
        </w:rPr>
        <w:t xml:space="preserve">, then this section aligns the two bills and sets total program at </w:t>
      </w:r>
      <w:r w:rsidR="000760D5" w:rsidRPr="00CF3130">
        <w:rPr>
          <w:rFonts w:ascii="Palatino Linotype" w:hAnsi="Palatino Linotype"/>
          <w:strike/>
          <w:sz w:val="20"/>
          <w:szCs w:val="20"/>
        </w:rPr>
        <w:t>$</w:t>
      </w:r>
      <w:proofErr w:type="gramStart"/>
      <w:r w:rsidR="000760D5" w:rsidRPr="00CF3130">
        <w:rPr>
          <w:rFonts w:ascii="Palatino Linotype" w:hAnsi="Palatino Linotype"/>
          <w:strike/>
          <w:sz w:val="20"/>
          <w:szCs w:val="20"/>
        </w:rPr>
        <w:t>5,919,662,880</w:t>
      </w:r>
      <w:r w:rsidR="00CF3130">
        <w:rPr>
          <w:rFonts w:ascii="Palatino Linotype" w:hAnsi="Palatino Linotype"/>
          <w:strike/>
          <w:sz w:val="20"/>
          <w:szCs w:val="20"/>
        </w:rPr>
        <w:t xml:space="preserve"> </w:t>
      </w:r>
      <w:r w:rsidR="00CF3130" w:rsidRPr="00CF3130">
        <w:rPr>
          <w:rFonts w:ascii="Palatino Linotype" w:hAnsi="Palatino Linotype"/>
          <w:b/>
          <w:color w:val="197A9B"/>
          <w:sz w:val="20"/>
          <w:szCs w:val="20"/>
        </w:rPr>
        <w:t xml:space="preserve"> </w:t>
      </w:r>
      <w:r w:rsidR="00CF3130" w:rsidRPr="00073EE9">
        <w:rPr>
          <w:rFonts w:ascii="Palatino Linotype" w:hAnsi="Palatino Linotype"/>
          <w:b/>
          <w:strike/>
          <w:color w:val="197A9B"/>
          <w:sz w:val="20"/>
          <w:szCs w:val="20"/>
        </w:rPr>
        <w:t>$</w:t>
      </w:r>
      <w:proofErr w:type="gramEnd"/>
      <w:r w:rsidR="00CF3130" w:rsidRPr="00073EE9">
        <w:rPr>
          <w:rFonts w:ascii="Palatino Linotype" w:hAnsi="Palatino Linotype"/>
          <w:b/>
          <w:strike/>
          <w:color w:val="197A9B"/>
          <w:sz w:val="20"/>
          <w:szCs w:val="20"/>
        </w:rPr>
        <w:t>5,929,709,582</w:t>
      </w:r>
      <w:r w:rsidR="00073EE9">
        <w:rPr>
          <w:rFonts w:ascii="Palatino Linotype" w:hAnsi="Palatino Linotype"/>
          <w:strike/>
          <w:sz w:val="20"/>
          <w:szCs w:val="20"/>
        </w:rPr>
        <w:t xml:space="preserve">  </w:t>
      </w:r>
      <w:r w:rsidR="00073EE9" w:rsidRPr="00BA7398">
        <w:rPr>
          <w:rFonts w:ascii="Palatino Linotype" w:hAnsi="Palatino Linotype"/>
          <w:b/>
          <w:strike/>
          <w:color w:val="8064A2" w:themeColor="accent4"/>
          <w:sz w:val="20"/>
          <w:szCs w:val="20"/>
        </w:rPr>
        <w:t>$5,939,768,500</w:t>
      </w:r>
      <w:r>
        <w:rPr>
          <w:rFonts w:ascii="Palatino Linotype" w:hAnsi="Palatino Linotype"/>
          <w:b/>
          <w:color w:val="8064A2" w:themeColor="accent4"/>
          <w:sz w:val="20"/>
          <w:szCs w:val="20"/>
        </w:rPr>
        <w:t xml:space="preserve"> </w:t>
      </w:r>
      <w:r>
        <w:rPr>
          <w:rFonts w:ascii="Palatino Linotype" w:hAnsi="Palatino Linotype"/>
          <w:b/>
          <w:color w:val="DF0FC1"/>
          <w:sz w:val="20"/>
          <w:szCs w:val="20"/>
        </w:rPr>
        <w:t>5,929,709,582</w:t>
      </w:r>
      <w:r w:rsidRPr="00BA7398">
        <w:rPr>
          <w:rFonts w:ascii="Palatino Linotype" w:hAnsi="Palatino Linotype"/>
          <w:b/>
          <w:color w:val="DF0FC1"/>
          <w:sz w:val="20"/>
          <w:szCs w:val="20"/>
        </w:rPr>
        <w:t>.</w:t>
      </w:r>
      <w:r w:rsidR="000760D5" w:rsidRPr="00464485">
        <w:rPr>
          <w:rFonts w:ascii="Palatino Linotype" w:hAnsi="Palatino Linotype"/>
          <w:sz w:val="20"/>
          <w:szCs w:val="20"/>
        </w:rPr>
        <w:t xml:space="preserve">  </w:t>
      </w:r>
      <w:r w:rsidR="003E4811" w:rsidRPr="00464485">
        <w:rPr>
          <w:rFonts w:ascii="Palatino Linotype" w:hAnsi="Palatino Linotype"/>
          <w:sz w:val="20"/>
          <w:szCs w:val="20"/>
        </w:rPr>
        <w:t xml:space="preserve"> </w:t>
      </w:r>
      <w:r w:rsidR="00766505" w:rsidRPr="00464485">
        <w:rPr>
          <w:rFonts w:ascii="Palatino Linotype" w:hAnsi="Palatino Linotype"/>
          <w:sz w:val="20"/>
          <w:szCs w:val="20"/>
        </w:rPr>
        <w:t xml:space="preserve">This section also keeps the 2015-16 negative </w:t>
      </w:r>
      <w:proofErr w:type="gramStart"/>
      <w:r w:rsidR="00766505" w:rsidRPr="00464485">
        <w:rPr>
          <w:rFonts w:ascii="Palatino Linotype" w:hAnsi="Palatino Linotype"/>
          <w:sz w:val="20"/>
          <w:szCs w:val="20"/>
        </w:rPr>
        <w:t>fact</w:t>
      </w:r>
      <w:r w:rsidR="00AF43D6" w:rsidRPr="00464485">
        <w:rPr>
          <w:rFonts w:ascii="Palatino Linotype" w:hAnsi="Palatino Linotype"/>
          <w:sz w:val="20"/>
          <w:szCs w:val="20"/>
        </w:rPr>
        <w:t>or</w:t>
      </w:r>
      <w:proofErr w:type="gramEnd"/>
      <w:r w:rsidR="00073EE9">
        <w:rPr>
          <w:rFonts w:ascii="Palatino Linotype" w:hAnsi="Palatino Linotype"/>
          <w:sz w:val="20"/>
          <w:szCs w:val="20"/>
        </w:rPr>
        <w:t xml:space="preserve"> </w:t>
      </w:r>
      <w:r w:rsidR="00AF43D6" w:rsidRPr="00464485">
        <w:rPr>
          <w:rFonts w:ascii="Palatino Linotype" w:hAnsi="Palatino Linotype"/>
          <w:sz w:val="20"/>
          <w:szCs w:val="20"/>
        </w:rPr>
        <w:t>steady at the 2014-15 level.</w:t>
      </w:r>
      <w:r w:rsidR="00CF3130">
        <w:rPr>
          <w:rFonts w:ascii="Palatino Linotype" w:hAnsi="Palatino Linotype"/>
          <w:sz w:val="20"/>
          <w:szCs w:val="20"/>
        </w:rPr>
        <w:t xml:space="preserve">  This includes the additional preschool slots.</w:t>
      </w:r>
    </w:p>
    <w:p w:rsidR="001E0571" w:rsidRPr="001763C4" w:rsidRDefault="001E0571" w:rsidP="007F78FD">
      <w:pPr>
        <w:rPr>
          <w:rFonts w:asciiTheme="minorHAnsi" w:hAnsiTheme="minorHAnsi"/>
          <w:sz w:val="22"/>
          <w:szCs w:val="22"/>
        </w:rPr>
      </w:pPr>
    </w:p>
    <w:p w:rsidR="00536B69" w:rsidRDefault="00536B69" w:rsidP="007F78FD">
      <w:pPr>
        <w:rPr>
          <w:rFonts w:asciiTheme="minorHAnsi" w:hAnsiTheme="minorHAnsi"/>
          <w:b/>
          <w:sz w:val="22"/>
          <w:szCs w:val="22"/>
        </w:rPr>
      </w:pPr>
    </w:p>
    <w:p w:rsidR="001E0571" w:rsidRPr="00464485" w:rsidRDefault="009601C8" w:rsidP="007F78FD">
      <w:pPr>
        <w:rPr>
          <w:rFonts w:asciiTheme="minorHAnsi" w:hAnsiTheme="minorHAnsi"/>
          <w:b/>
        </w:rPr>
      </w:pPr>
      <w:r w:rsidRPr="00464485">
        <w:rPr>
          <w:rFonts w:asciiTheme="minorHAnsi" w:hAnsiTheme="minorHAnsi"/>
          <w:b/>
        </w:rPr>
        <w:t>Section 5</w:t>
      </w:r>
    </w:p>
    <w:p w:rsidR="0029061E" w:rsidRPr="001763C4" w:rsidRDefault="0029061E" w:rsidP="007F78FD">
      <w:pPr>
        <w:rPr>
          <w:rFonts w:asciiTheme="minorHAnsi" w:hAnsiTheme="minorHAnsi"/>
          <w:sz w:val="22"/>
          <w:szCs w:val="22"/>
        </w:rPr>
      </w:pPr>
    </w:p>
    <w:p w:rsidR="00766505" w:rsidRPr="00464485" w:rsidRDefault="00766505" w:rsidP="001C6C63">
      <w:pPr>
        <w:rPr>
          <w:rFonts w:ascii="Palatino Linotype" w:hAnsi="Palatino Linotype"/>
          <w:sz w:val="20"/>
          <w:szCs w:val="20"/>
        </w:rPr>
      </w:pPr>
      <w:r w:rsidRPr="00464485">
        <w:rPr>
          <w:rFonts w:ascii="Palatino Linotype" w:hAnsi="Palatino Linotype"/>
          <w:sz w:val="20"/>
          <w:szCs w:val="20"/>
        </w:rPr>
        <w:t xml:space="preserve">Provides a definition for “Actual statewide total program funding” as total program funding including the application of the negative factor. </w:t>
      </w:r>
    </w:p>
    <w:p w:rsidR="00766505" w:rsidRPr="00464485" w:rsidRDefault="00766505" w:rsidP="001C6C63">
      <w:pPr>
        <w:rPr>
          <w:rFonts w:ascii="Palatino Linotype" w:hAnsi="Palatino Linotype"/>
          <w:sz w:val="20"/>
          <w:szCs w:val="20"/>
        </w:rPr>
      </w:pPr>
    </w:p>
    <w:p w:rsidR="001C6C63" w:rsidRPr="00464485" w:rsidRDefault="008D00F3" w:rsidP="001C6C63">
      <w:pPr>
        <w:rPr>
          <w:rFonts w:ascii="Palatino Linotype" w:hAnsi="Palatino Linotype"/>
          <w:sz w:val="20"/>
          <w:szCs w:val="20"/>
        </w:rPr>
      </w:pPr>
      <w:r w:rsidRPr="00464485">
        <w:rPr>
          <w:rFonts w:ascii="Palatino Linotype" w:hAnsi="Palatino Linotype"/>
          <w:sz w:val="20"/>
          <w:szCs w:val="20"/>
        </w:rPr>
        <w:t>Provides a definition for</w:t>
      </w:r>
      <w:r w:rsidR="00766505" w:rsidRPr="00464485">
        <w:rPr>
          <w:rFonts w:ascii="Palatino Linotype" w:hAnsi="Palatino Linotype"/>
          <w:sz w:val="20"/>
          <w:szCs w:val="20"/>
        </w:rPr>
        <w:t xml:space="preserve"> “Calculated statewide total program funding” as the total program before the application of the negative factor.</w:t>
      </w:r>
    </w:p>
    <w:p w:rsidR="00766505" w:rsidRDefault="00766505" w:rsidP="001C6C63">
      <w:pPr>
        <w:rPr>
          <w:rFonts w:asciiTheme="minorHAnsi" w:hAnsiTheme="minorHAnsi"/>
          <w:sz w:val="22"/>
          <w:szCs w:val="22"/>
        </w:rPr>
      </w:pPr>
    </w:p>
    <w:p w:rsidR="0087047E" w:rsidRPr="00BA7398" w:rsidRDefault="0087047E" w:rsidP="001C6C63">
      <w:pPr>
        <w:rPr>
          <w:rFonts w:asciiTheme="minorHAnsi" w:hAnsiTheme="minorHAnsi"/>
          <w:strike/>
          <w:sz w:val="22"/>
          <w:szCs w:val="22"/>
        </w:rPr>
      </w:pPr>
    </w:p>
    <w:p w:rsidR="00216D84" w:rsidRPr="00BA7398" w:rsidRDefault="00216D84" w:rsidP="0087047E">
      <w:pPr>
        <w:rPr>
          <w:rFonts w:asciiTheme="minorHAnsi" w:hAnsiTheme="minorHAnsi"/>
          <w:b/>
          <w:strike/>
          <w:color w:val="DF0FC1"/>
        </w:rPr>
      </w:pPr>
      <w:r w:rsidRPr="00BA7398">
        <w:rPr>
          <w:rFonts w:asciiTheme="minorHAnsi" w:hAnsiTheme="minorHAnsi"/>
          <w:b/>
          <w:strike/>
          <w:color w:val="76923C" w:themeColor="accent3" w:themeShade="BF"/>
        </w:rPr>
        <w:t>Section 6</w:t>
      </w:r>
      <w:r w:rsidR="00BA7398">
        <w:rPr>
          <w:rFonts w:asciiTheme="minorHAnsi" w:hAnsiTheme="minorHAnsi"/>
          <w:b/>
          <w:strike/>
          <w:color w:val="76923C" w:themeColor="accent3" w:themeShade="BF"/>
        </w:rPr>
        <w:t xml:space="preserve"> – </w:t>
      </w:r>
      <w:r w:rsidR="00BA7398" w:rsidRPr="00BA7398">
        <w:rPr>
          <w:rFonts w:asciiTheme="minorHAnsi" w:hAnsiTheme="minorHAnsi"/>
          <w:b/>
          <w:color w:val="DF0FC1"/>
        </w:rPr>
        <w:t>Eliminated through conference committee</w:t>
      </w:r>
    </w:p>
    <w:p w:rsidR="00216D84" w:rsidRPr="00BA7398" w:rsidRDefault="00216D84" w:rsidP="0087047E">
      <w:pPr>
        <w:rPr>
          <w:rFonts w:asciiTheme="minorHAnsi" w:hAnsiTheme="minorHAnsi"/>
          <w:b/>
          <w:strike/>
          <w:color w:val="76923C" w:themeColor="accent3" w:themeShade="BF"/>
        </w:rPr>
      </w:pPr>
    </w:p>
    <w:p w:rsidR="00216D84" w:rsidRPr="00BA7398" w:rsidRDefault="00554EEB" w:rsidP="0087047E">
      <w:pPr>
        <w:rPr>
          <w:rFonts w:ascii="Palatino Linotype" w:hAnsi="Palatino Linotype"/>
          <w:strike/>
          <w:color w:val="76923C" w:themeColor="accent3" w:themeShade="BF"/>
          <w:sz w:val="20"/>
          <w:szCs w:val="20"/>
        </w:rPr>
      </w:pPr>
      <w:r w:rsidRPr="00BA7398">
        <w:rPr>
          <w:rFonts w:ascii="Palatino Linotype" w:hAnsi="Palatino Linotype"/>
          <w:strike/>
          <w:color w:val="76923C" w:themeColor="accent3" w:themeShade="BF"/>
          <w:sz w:val="20"/>
          <w:szCs w:val="20"/>
        </w:rPr>
        <w:t xml:space="preserve">For 2014-15 budget </w:t>
      </w:r>
      <w:proofErr w:type="gramStart"/>
      <w:r w:rsidRPr="00BA7398">
        <w:rPr>
          <w:rFonts w:ascii="Palatino Linotype" w:hAnsi="Palatino Linotype"/>
          <w:strike/>
          <w:color w:val="76923C" w:themeColor="accent3" w:themeShade="BF"/>
          <w:sz w:val="20"/>
          <w:szCs w:val="20"/>
        </w:rPr>
        <w:t>year</w:t>
      </w:r>
      <w:proofErr w:type="gramEnd"/>
      <w:r w:rsidRPr="00BA7398">
        <w:rPr>
          <w:rFonts w:ascii="Palatino Linotype" w:hAnsi="Palatino Linotype"/>
          <w:strike/>
          <w:color w:val="76923C" w:themeColor="accent3" w:themeShade="BF"/>
          <w:sz w:val="20"/>
          <w:szCs w:val="20"/>
        </w:rPr>
        <w:t xml:space="preserve"> and each year thereafter, a</w:t>
      </w:r>
      <w:r w:rsidR="00216D84" w:rsidRPr="00BA7398">
        <w:rPr>
          <w:rFonts w:ascii="Palatino Linotype" w:hAnsi="Palatino Linotype"/>
          <w:strike/>
          <w:color w:val="76923C" w:themeColor="accent3" w:themeShade="BF"/>
          <w:sz w:val="20"/>
          <w:szCs w:val="20"/>
        </w:rPr>
        <w:t>djusts the full-day kindergarten factor to .60 full-day pupil – up from .58 full-day pupil.</w:t>
      </w:r>
    </w:p>
    <w:p w:rsidR="00216D84" w:rsidRDefault="00216D84" w:rsidP="0087047E">
      <w:pPr>
        <w:rPr>
          <w:rFonts w:asciiTheme="minorHAnsi" w:hAnsiTheme="minorHAnsi"/>
          <w:b/>
        </w:rPr>
      </w:pPr>
    </w:p>
    <w:p w:rsidR="0087047E" w:rsidRPr="00BA7398" w:rsidRDefault="0087047E" w:rsidP="0087047E">
      <w:pPr>
        <w:rPr>
          <w:rFonts w:asciiTheme="minorHAnsi" w:hAnsiTheme="minorHAnsi"/>
          <w:b/>
          <w:color w:val="DF0FC1"/>
        </w:rPr>
      </w:pPr>
      <w:r w:rsidRPr="00464485">
        <w:rPr>
          <w:rFonts w:asciiTheme="minorHAnsi" w:hAnsiTheme="minorHAnsi"/>
          <w:b/>
        </w:rPr>
        <w:t xml:space="preserve">Section </w:t>
      </w:r>
      <w:r w:rsidRPr="00216D84">
        <w:rPr>
          <w:rFonts w:asciiTheme="minorHAnsi" w:hAnsiTheme="minorHAnsi"/>
          <w:b/>
          <w:strike/>
        </w:rPr>
        <w:t>6</w:t>
      </w:r>
      <w:r w:rsidR="00216D84">
        <w:rPr>
          <w:rFonts w:asciiTheme="minorHAnsi" w:hAnsiTheme="minorHAnsi"/>
          <w:b/>
          <w:strike/>
        </w:rPr>
        <w:t xml:space="preserve"> </w:t>
      </w:r>
      <w:r w:rsidR="00216D84" w:rsidRPr="00BA7398">
        <w:rPr>
          <w:rFonts w:asciiTheme="minorHAnsi" w:hAnsiTheme="minorHAnsi"/>
          <w:b/>
          <w:strike/>
          <w:color w:val="76923C" w:themeColor="accent3" w:themeShade="BF"/>
        </w:rPr>
        <w:t>7</w:t>
      </w:r>
      <w:r w:rsidR="00BA7398">
        <w:rPr>
          <w:rFonts w:asciiTheme="minorHAnsi" w:hAnsiTheme="minorHAnsi"/>
          <w:b/>
          <w:strike/>
          <w:color w:val="76923C" w:themeColor="accent3" w:themeShade="BF"/>
        </w:rPr>
        <w:t xml:space="preserve"> </w:t>
      </w:r>
      <w:r w:rsidR="00BA7398">
        <w:rPr>
          <w:rFonts w:asciiTheme="minorHAnsi" w:hAnsiTheme="minorHAnsi"/>
          <w:b/>
          <w:color w:val="DF0FC1"/>
        </w:rPr>
        <w:t>6</w:t>
      </w:r>
    </w:p>
    <w:p w:rsidR="0087047E" w:rsidRPr="008D00F3" w:rsidRDefault="0087047E" w:rsidP="0087047E">
      <w:pPr>
        <w:rPr>
          <w:rFonts w:asciiTheme="minorHAnsi" w:hAnsiTheme="minorHAnsi"/>
          <w:b/>
          <w:sz w:val="22"/>
          <w:szCs w:val="22"/>
        </w:rPr>
      </w:pPr>
    </w:p>
    <w:p w:rsidR="0087047E" w:rsidRPr="00216D84" w:rsidRDefault="008D00F3" w:rsidP="0087047E">
      <w:pPr>
        <w:rPr>
          <w:rFonts w:ascii="Palatino Linotype" w:hAnsi="Palatino Linotype"/>
          <w:color w:val="76923C" w:themeColor="accent3" w:themeShade="BF"/>
          <w:sz w:val="20"/>
          <w:szCs w:val="20"/>
        </w:rPr>
      </w:pPr>
      <w:proofErr w:type="gramStart"/>
      <w:r w:rsidRPr="00464485">
        <w:rPr>
          <w:rFonts w:ascii="Palatino Linotype" w:hAnsi="Palatino Linotype"/>
          <w:sz w:val="20"/>
          <w:szCs w:val="20"/>
        </w:rPr>
        <w:t>Increases the number of children who may participate in the Colorado preschool program by 5,000 for a total of 28,360 annually.</w:t>
      </w:r>
      <w:proofErr w:type="gramEnd"/>
      <w:r w:rsidR="00216D84">
        <w:rPr>
          <w:rFonts w:ascii="Palatino Linotype" w:hAnsi="Palatino Linotype"/>
          <w:sz w:val="20"/>
          <w:szCs w:val="20"/>
        </w:rPr>
        <w:t xml:space="preserve"> </w:t>
      </w:r>
      <w:proofErr w:type="gramStart"/>
      <w:r w:rsidR="00216D84">
        <w:rPr>
          <w:rFonts w:ascii="Palatino Linotype" w:hAnsi="Palatino Linotype"/>
          <w:color w:val="76923C" w:themeColor="accent3" w:themeShade="BF"/>
          <w:sz w:val="20"/>
          <w:szCs w:val="20"/>
        </w:rPr>
        <w:t>Eliminates the requirement that the first slots are distributed to full-day kindergarten.</w:t>
      </w:r>
      <w:proofErr w:type="gramEnd"/>
    </w:p>
    <w:p w:rsidR="00536650" w:rsidRDefault="00536650" w:rsidP="0087047E">
      <w:pPr>
        <w:rPr>
          <w:rFonts w:ascii="Palatino Linotype" w:hAnsi="Palatino Linotype"/>
          <w:sz w:val="20"/>
          <w:szCs w:val="20"/>
        </w:rPr>
      </w:pPr>
    </w:p>
    <w:p w:rsidR="00536650" w:rsidRPr="00216D84" w:rsidRDefault="00536650" w:rsidP="0087047E">
      <w:pPr>
        <w:rPr>
          <w:rFonts w:ascii="Palatino Linotype" w:hAnsi="Palatino Linotype"/>
          <w:b/>
          <w:strike/>
          <w:color w:val="785F55"/>
          <w:sz w:val="20"/>
          <w:szCs w:val="20"/>
        </w:rPr>
      </w:pPr>
      <w:r w:rsidRPr="00216D84">
        <w:rPr>
          <w:rFonts w:ascii="Palatino Linotype" w:hAnsi="Palatino Linotype"/>
          <w:b/>
          <w:strike/>
          <w:color w:val="785F55"/>
          <w:sz w:val="20"/>
          <w:szCs w:val="20"/>
        </w:rPr>
        <w:t>The increase in “slots” shall be distributed to first to districts or charter school’s to expand the number of students enrolled in existing full day kindergarten programs.  If there are any remaining slots after this distribution, then the remainder is distributed to half-day or full-day preschool programs.</w:t>
      </w:r>
    </w:p>
    <w:p w:rsidR="009601C8" w:rsidRPr="001763C4" w:rsidRDefault="009601C8" w:rsidP="001C6C63">
      <w:pPr>
        <w:rPr>
          <w:rFonts w:asciiTheme="minorHAnsi" w:hAnsiTheme="minorHAnsi"/>
          <w:sz w:val="22"/>
          <w:szCs w:val="22"/>
        </w:rPr>
      </w:pPr>
    </w:p>
    <w:p w:rsidR="00554EEB" w:rsidRPr="00BA7398" w:rsidRDefault="00554EEB" w:rsidP="001C6C63">
      <w:pPr>
        <w:rPr>
          <w:rFonts w:asciiTheme="minorHAnsi" w:hAnsiTheme="minorHAnsi"/>
          <w:b/>
          <w:color w:val="DF0FC1"/>
        </w:rPr>
      </w:pPr>
      <w:r>
        <w:rPr>
          <w:rFonts w:asciiTheme="minorHAnsi" w:hAnsiTheme="minorHAnsi"/>
          <w:b/>
          <w:color w:val="E36C0A" w:themeColor="accent6" w:themeShade="BF"/>
        </w:rPr>
        <w:t xml:space="preserve">Section </w:t>
      </w:r>
      <w:r w:rsidRPr="00BA7398">
        <w:rPr>
          <w:rFonts w:asciiTheme="minorHAnsi" w:hAnsiTheme="minorHAnsi"/>
          <w:b/>
          <w:strike/>
          <w:color w:val="E36C0A" w:themeColor="accent6" w:themeShade="BF"/>
        </w:rPr>
        <w:t>8</w:t>
      </w:r>
      <w:r w:rsidR="00BA7398">
        <w:rPr>
          <w:rFonts w:asciiTheme="minorHAnsi" w:hAnsiTheme="minorHAnsi"/>
          <w:b/>
          <w:strike/>
          <w:color w:val="E36C0A" w:themeColor="accent6" w:themeShade="BF"/>
        </w:rPr>
        <w:t xml:space="preserve"> </w:t>
      </w:r>
      <w:r w:rsidR="00BA7398">
        <w:rPr>
          <w:rFonts w:asciiTheme="minorHAnsi" w:hAnsiTheme="minorHAnsi"/>
          <w:b/>
          <w:color w:val="DF0FC1"/>
        </w:rPr>
        <w:t>7</w:t>
      </w:r>
    </w:p>
    <w:p w:rsidR="00554EEB" w:rsidRDefault="00554EEB" w:rsidP="001C6C63">
      <w:pPr>
        <w:rPr>
          <w:rFonts w:asciiTheme="minorHAnsi" w:hAnsiTheme="minorHAnsi"/>
          <w:b/>
          <w:color w:val="E36C0A" w:themeColor="accent6" w:themeShade="BF"/>
        </w:rPr>
      </w:pPr>
    </w:p>
    <w:p w:rsidR="00554EEB" w:rsidRDefault="00554EEB" w:rsidP="001C6C63">
      <w:pPr>
        <w:rPr>
          <w:rFonts w:ascii="Palatino Linotype" w:hAnsi="Palatino Linotype"/>
          <w:color w:val="E36C0A" w:themeColor="accent6" w:themeShade="BF"/>
          <w:sz w:val="20"/>
          <w:szCs w:val="20"/>
        </w:rPr>
      </w:pPr>
      <w:r w:rsidRPr="00554EEB">
        <w:rPr>
          <w:rFonts w:ascii="Palatino Linotype" w:hAnsi="Palatino Linotype"/>
          <w:color w:val="E36C0A" w:themeColor="accent6" w:themeShade="BF"/>
          <w:sz w:val="20"/>
          <w:szCs w:val="20"/>
        </w:rPr>
        <w:t>The department of education working with the department of human services shall produce a report concerning the status of implementing the quality rating and improvement system for school district and charter school early childhood education programs. The report will include specific reporting elements including but not limited to timelines and the coordination of the implementation of this system with other statutory requirements.</w:t>
      </w:r>
    </w:p>
    <w:p w:rsidR="000D73EE" w:rsidRDefault="000D73EE" w:rsidP="000D73EE">
      <w:pPr>
        <w:rPr>
          <w:rFonts w:asciiTheme="minorHAnsi" w:hAnsiTheme="minorHAnsi"/>
          <w:b/>
          <w:color w:val="FF0000"/>
        </w:rPr>
      </w:pPr>
    </w:p>
    <w:p w:rsidR="000D73EE" w:rsidRPr="00BB608A" w:rsidRDefault="000D73EE" w:rsidP="000D73EE">
      <w:pPr>
        <w:rPr>
          <w:rFonts w:asciiTheme="minorHAnsi" w:hAnsiTheme="minorHAnsi"/>
          <w:b/>
          <w:color w:val="76923C" w:themeColor="accent3" w:themeShade="BF"/>
        </w:rPr>
      </w:pPr>
      <w:r w:rsidRPr="00464485">
        <w:rPr>
          <w:rFonts w:asciiTheme="minorHAnsi" w:hAnsiTheme="minorHAnsi"/>
          <w:b/>
          <w:color w:val="FF0000"/>
        </w:rPr>
        <w:t xml:space="preserve">Section </w:t>
      </w:r>
      <w:proofErr w:type="gramStart"/>
      <w:r w:rsidRPr="00BB608A">
        <w:rPr>
          <w:rFonts w:asciiTheme="minorHAnsi" w:hAnsiTheme="minorHAnsi"/>
          <w:b/>
          <w:strike/>
          <w:color w:val="FF0000"/>
        </w:rPr>
        <w:t>8</w:t>
      </w:r>
      <w:r>
        <w:rPr>
          <w:rFonts w:asciiTheme="minorHAnsi" w:hAnsiTheme="minorHAnsi"/>
          <w:b/>
          <w:strike/>
          <w:color w:val="FF0000"/>
        </w:rPr>
        <w:t xml:space="preserve"> </w:t>
      </w:r>
      <w:r>
        <w:rPr>
          <w:rFonts w:asciiTheme="minorHAnsi" w:hAnsiTheme="minorHAnsi"/>
          <w:b/>
          <w:color w:val="76923C" w:themeColor="accent3" w:themeShade="BF"/>
        </w:rPr>
        <w:t xml:space="preserve"> </w:t>
      </w:r>
      <w:r w:rsidRPr="00BA7398">
        <w:rPr>
          <w:rFonts w:asciiTheme="minorHAnsi" w:hAnsiTheme="minorHAnsi"/>
          <w:b/>
          <w:strike/>
          <w:color w:val="76923C" w:themeColor="accent3" w:themeShade="BF"/>
        </w:rPr>
        <w:t>9</w:t>
      </w:r>
      <w:proofErr w:type="gramEnd"/>
      <w:r>
        <w:rPr>
          <w:rFonts w:asciiTheme="minorHAnsi" w:hAnsiTheme="minorHAnsi"/>
          <w:b/>
          <w:color w:val="76923C" w:themeColor="accent3" w:themeShade="BF"/>
        </w:rPr>
        <w:t xml:space="preserve">  </w:t>
      </w:r>
      <w:r w:rsidRPr="00073EE9">
        <w:rPr>
          <w:rFonts w:asciiTheme="minorHAnsi" w:hAnsiTheme="minorHAnsi"/>
          <w:b/>
          <w:color w:val="8064A2" w:themeColor="accent4"/>
        </w:rPr>
        <w:t xml:space="preserve">THIS </w:t>
      </w:r>
      <w:r>
        <w:rPr>
          <w:rFonts w:asciiTheme="minorHAnsi" w:hAnsiTheme="minorHAnsi"/>
          <w:b/>
          <w:color w:val="8064A2" w:themeColor="accent4"/>
        </w:rPr>
        <w:t>LANGUAGE</w:t>
      </w:r>
      <w:r w:rsidRPr="00073EE9">
        <w:rPr>
          <w:rFonts w:asciiTheme="minorHAnsi" w:hAnsiTheme="minorHAnsi"/>
          <w:b/>
          <w:color w:val="8064A2" w:themeColor="accent4"/>
        </w:rPr>
        <w:t xml:space="preserve"> ELIMINATED IN SENATE APPROPRIATION COMMITTEE</w:t>
      </w:r>
    </w:p>
    <w:p w:rsidR="000D73EE" w:rsidRPr="00536B69" w:rsidRDefault="000D73EE" w:rsidP="000D73EE">
      <w:pPr>
        <w:rPr>
          <w:rFonts w:asciiTheme="minorHAnsi" w:hAnsiTheme="minorHAnsi"/>
          <w:b/>
          <w:color w:val="FF0000"/>
          <w:sz w:val="22"/>
          <w:szCs w:val="22"/>
        </w:rPr>
      </w:pPr>
    </w:p>
    <w:p w:rsidR="000D73EE" w:rsidRPr="00073EE9" w:rsidRDefault="000D73EE" w:rsidP="000D73EE">
      <w:pPr>
        <w:rPr>
          <w:rFonts w:ascii="Palatino Linotype" w:hAnsi="Palatino Linotype"/>
          <w:strike/>
          <w:color w:val="FF0000"/>
          <w:sz w:val="20"/>
          <w:szCs w:val="20"/>
        </w:rPr>
      </w:pPr>
      <w:r w:rsidRPr="00073EE9">
        <w:rPr>
          <w:rFonts w:ascii="Palatino Linotype" w:hAnsi="Palatino Linotype"/>
          <w:strike/>
          <w:color w:val="FF0000"/>
          <w:sz w:val="20"/>
          <w:szCs w:val="20"/>
        </w:rPr>
        <w:t>The bill adds language that seventy-five percent of the amounts above any reserve requirements in the State’s General Fund at the end of 2014-15 would be transferred to the State Education Fund.</w:t>
      </w:r>
    </w:p>
    <w:p w:rsidR="00554EEB" w:rsidRPr="00554EEB" w:rsidRDefault="00554EEB" w:rsidP="001C6C63">
      <w:pPr>
        <w:rPr>
          <w:rFonts w:asciiTheme="minorHAnsi" w:hAnsiTheme="minorHAnsi"/>
          <w:b/>
          <w:color w:val="E36C0A" w:themeColor="accent6" w:themeShade="BF"/>
        </w:rPr>
      </w:pPr>
    </w:p>
    <w:p w:rsidR="009601C8" w:rsidRPr="00BA7398" w:rsidRDefault="0087047E" w:rsidP="001C6C63">
      <w:pPr>
        <w:rPr>
          <w:rFonts w:asciiTheme="minorHAnsi" w:hAnsiTheme="minorHAnsi"/>
          <w:b/>
          <w:color w:val="DF0FC1"/>
        </w:rPr>
      </w:pPr>
      <w:r w:rsidRPr="00464485">
        <w:rPr>
          <w:rFonts w:asciiTheme="minorHAnsi" w:hAnsiTheme="minorHAnsi"/>
          <w:b/>
        </w:rPr>
        <w:t xml:space="preserve">Section </w:t>
      </w:r>
      <w:r w:rsidRPr="00BB608A">
        <w:rPr>
          <w:rFonts w:asciiTheme="minorHAnsi" w:hAnsiTheme="minorHAnsi"/>
          <w:b/>
          <w:strike/>
        </w:rPr>
        <w:t>7</w:t>
      </w:r>
      <w:r w:rsidR="00BB608A">
        <w:rPr>
          <w:rFonts w:asciiTheme="minorHAnsi" w:hAnsiTheme="minorHAnsi"/>
          <w:b/>
          <w:strike/>
        </w:rPr>
        <w:t xml:space="preserve"> </w:t>
      </w:r>
      <w:r w:rsidR="00BB608A" w:rsidRPr="00554EEB">
        <w:rPr>
          <w:rFonts w:asciiTheme="minorHAnsi" w:hAnsiTheme="minorHAnsi"/>
          <w:b/>
          <w:strike/>
          <w:color w:val="76923C" w:themeColor="accent3" w:themeShade="BF"/>
        </w:rPr>
        <w:t>8</w:t>
      </w:r>
      <w:r w:rsidR="00554EEB">
        <w:rPr>
          <w:rFonts w:asciiTheme="minorHAnsi" w:hAnsiTheme="minorHAnsi"/>
          <w:b/>
          <w:strike/>
          <w:color w:val="76923C" w:themeColor="accent3" w:themeShade="BF"/>
        </w:rPr>
        <w:t xml:space="preserve"> </w:t>
      </w:r>
      <w:r w:rsidR="00554EEB" w:rsidRPr="00BA7398">
        <w:rPr>
          <w:rFonts w:asciiTheme="minorHAnsi" w:hAnsiTheme="minorHAnsi"/>
          <w:b/>
          <w:strike/>
          <w:color w:val="E36C0A" w:themeColor="accent6" w:themeShade="BF"/>
        </w:rPr>
        <w:t>9</w:t>
      </w:r>
      <w:r w:rsidR="00BA7398">
        <w:rPr>
          <w:rFonts w:asciiTheme="minorHAnsi" w:hAnsiTheme="minorHAnsi"/>
          <w:b/>
          <w:strike/>
          <w:color w:val="E36C0A" w:themeColor="accent6" w:themeShade="BF"/>
        </w:rPr>
        <w:t xml:space="preserve"> </w:t>
      </w:r>
      <w:r w:rsidR="00BA7398">
        <w:rPr>
          <w:rFonts w:asciiTheme="minorHAnsi" w:hAnsiTheme="minorHAnsi"/>
          <w:b/>
          <w:color w:val="DF0FC1"/>
        </w:rPr>
        <w:t>8</w:t>
      </w:r>
    </w:p>
    <w:p w:rsidR="009601C8" w:rsidRPr="001763C4" w:rsidRDefault="009601C8" w:rsidP="001C6C63">
      <w:pPr>
        <w:rPr>
          <w:rFonts w:asciiTheme="minorHAnsi" w:hAnsiTheme="minorHAnsi"/>
          <w:sz w:val="22"/>
          <w:szCs w:val="22"/>
        </w:rPr>
      </w:pPr>
    </w:p>
    <w:p w:rsidR="008D00F3" w:rsidRPr="00464485" w:rsidRDefault="00C33F0A" w:rsidP="003E4811">
      <w:pPr>
        <w:rPr>
          <w:rFonts w:ascii="Palatino Linotype" w:hAnsi="Palatino Linotype"/>
          <w:sz w:val="20"/>
          <w:szCs w:val="20"/>
        </w:rPr>
      </w:pPr>
      <w:r w:rsidRPr="00464485">
        <w:rPr>
          <w:rFonts w:ascii="Palatino Linotype" w:hAnsi="Palatino Linotype"/>
          <w:sz w:val="20"/>
          <w:szCs w:val="20"/>
        </w:rPr>
        <w:t>Allows school districts to operate with a higher limit on bonded indebtedness if the</w:t>
      </w:r>
      <w:r w:rsidR="003E4811" w:rsidRPr="00464485">
        <w:rPr>
          <w:rFonts w:ascii="Palatino Linotype" w:hAnsi="Palatino Linotype"/>
          <w:sz w:val="20"/>
          <w:szCs w:val="20"/>
        </w:rPr>
        <w:t xml:space="preserve"> district</w:t>
      </w:r>
      <w:r w:rsidR="00305481" w:rsidRPr="00464485">
        <w:rPr>
          <w:rFonts w:ascii="Palatino Linotype" w:hAnsi="Palatino Linotype"/>
          <w:sz w:val="20"/>
          <w:szCs w:val="20"/>
        </w:rPr>
        <w:t xml:space="preserve">’s </w:t>
      </w:r>
      <w:r w:rsidRPr="00464485">
        <w:rPr>
          <w:rFonts w:ascii="Palatino Linotype" w:hAnsi="Palatino Linotype"/>
          <w:sz w:val="20"/>
          <w:szCs w:val="20"/>
        </w:rPr>
        <w:t>average annual increase in pupil enrollment for 3 or 5 years is at least</w:t>
      </w:r>
      <w:r w:rsidR="003E4811" w:rsidRPr="00464485">
        <w:rPr>
          <w:rFonts w:ascii="Palatino Linotype" w:hAnsi="Palatino Linotype"/>
          <w:sz w:val="20"/>
          <w:szCs w:val="20"/>
        </w:rPr>
        <w:t xml:space="preserve"> </w:t>
      </w:r>
      <w:r w:rsidRPr="00464485">
        <w:rPr>
          <w:rFonts w:ascii="Palatino Linotype" w:hAnsi="Palatino Linotype"/>
          <w:sz w:val="20"/>
          <w:szCs w:val="20"/>
        </w:rPr>
        <w:t>2.5 percent.  Current law requires that pupil enrol</w:t>
      </w:r>
      <w:r w:rsidR="002C4001" w:rsidRPr="00464485">
        <w:rPr>
          <w:rFonts w:ascii="Palatino Linotype" w:hAnsi="Palatino Linotype"/>
          <w:sz w:val="20"/>
          <w:szCs w:val="20"/>
        </w:rPr>
        <w:t>lment increases by at least 2.5 percent</w:t>
      </w:r>
      <w:r w:rsidRPr="00464485">
        <w:rPr>
          <w:rFonts w:ascii="Palatino Linotype" w:hAnsi="Palatino Linotype"/>
          <w:sz w:val="20"/>
          <w:szCs w:val="20"/>
        </w:rPr>
        <w:t xml:space="preserve"> each year for 3 consecutive fiscal years.</w:t>
      </w:r>
      <w:r w:rsidR="00A74C31" w:rsidRPr="00464485">
        <w:rPr>
          <w:rFonts w:ascii="Palatino Linotype" w:hAnsi="Palatino Linotype"/>
          <w:sz w:val="20"/>
          <w:szCs w:val="20"/>
        </w:rPr>
        <w:t xml:space="preserve"> This provision would expand the options for districts to access the higher limit.</w:t>
      </w:r>
      <w:r w:rsidRPr="00464485">
        <w:rPr>
          <w:rFonts w:ascii="Palatino Linotype" w:hAnsi="Palatino Linotype"/>
          <w:sz w:val="20"/>
          <w:szCs w:val="20"/>
        </w:rPr>
        <w:t xml:space="preserve">    </w:t>
      </w:r>
    </w:p>
    <w:p w:rsidR="00C33F0A" w:rsidRPr="001763C4" w:rsidRDefault="00C33F0A" w:rsidP="00C33F0A">
      <w:pPr>
        <w:autoSpaceDE w:val="0"/>
        <w:autoSpaceDN w:val="0"/>
        <w:adjustRightInd w:val="0"/>
        <w:rPr>
          <w:rFonts w:asciiTheme="minorHAnsi" w:hAnsiTheme="minorHAnsi"/>
          <w:sz w:val="22"/>
          <w:szCs w:val="22"/>
        </w:rPr>
      </w:pPr>
    </w:p>
    <w:p w:rsidR="00073EE9" w:rsidRPr="006C51ED" w:rsidRDefault="00073EE9" w:rsidP="00536B69">
      <w:pPr>
        <w:rPr>
          <w:rFonts w:asciiTheme="minorHAnsi" w:hAnsiTheme="minorHAnsi"/>
          <w:b/>
          <w:color w:val="DF0FC1"/>
        </w:rPr>
      </w:pPr>
      <w:r w:rsidRPr="00073EE9">
        <w:rPr>
          <w:rFonts w:asciiTheme="minorHAnsi" w:hAnsiTheme="minorHAnsi"/>
          <w:b/>
          <w:color w:val="8064A2" w:themeColor="accent4"/>
        </w:rPr>
        <w:lastRenderedPageBreak/>
        <w:t xml:space="preserve">Section </w:t>
      </w:r>
      <w:r w:rsidRPr="000D73EE">
        <w:rPr>
          <w:rFonts w:asciiTheme="minorHAnsi" w:hAnsiTheme="minorHAnsi"/>
          <w:b/>
          <w:strike/>
          <w:color w:val="8064A2" w:themeColor="accent4"/>
        </w:rPr>
        <w:t>9</w:t>
      </w:r>
      <w:r w:rsidR="000D73EE">
        <w:rPr>
          <w:rFonts w:asciiTheme="minorHAnsi" w:hAnsiTheme="minorHAnsi"/>
          <w:b/>
          <w:strike/>
          <w:color w:val="8064A2" w:themeColor="accent4"/>
        </w:rPr>
        <w:t xml:space="preserve"> </w:t>
      </w:r>
      <w:r w:rsidR="000D73EE" w:rsidRPr="006C51ED">
        <w:rPr>
          <w:rFonts w:asciiTheme="minorHAnsi" w:hAnsiTheme="minorHAnsi"/>
          <w:b/>
          <w:strike/>
          <w:color w:val="E36C0A" w:themeColor="accent6" w:themeShade="BF"/>
        </w:rPr>
        <w:t>10</w:t>
      </w:r>
      <w:r w:rsidR="006C51ED">
        <w:rPr>
          <w:rFonts w:asciiTheme="minorHAnsi" w:hAnsiTheme="minorHAnsi"/>
          <w:b/>
          <w:strike/>
          <w:color w:val="E36C0A" w:themeColor="accent6" w:themeShade="BF"/>
        </w:rPr>
        <w:t xml:space="preserve"> </w:t>
      </w:r>
      <w:r w:rsidR="006C51ED">
        <w:rPr>
          <w:rFonts w:asciiTheme="minorHAnsi" w:hAnsiTheme="minorHAnsi"/>
          <w:b/>
          <w:color w:val="DF0FC1"/>
        </w:rPr>
        <w:t>9</w:t>
      </w:r>
      <w:r w:rsidR="006C51ED">
        <w:rPr>
          <w:rFonts w:asciiTheme="minorHAnsi" w:hAnsiTheme="minorHAnsi"/>
          <w:b/>
          <w:strike/>
          <w:color w:val="E36C0A" w:themeColor="accent6" w:themeShade="BF"/>
        </w:rPr>
        <w:t xml:space="preserve">                                                               </w:t>
      </w:r>
    </w:p>
    <w:p w:rsidR="00073EE9" w:rsidRDefault="00073EE9" w:rsidP="00536B69">
      <w:pPr>
        <w:rPr>
          <w:rFonts w:asciiTheme="minorHAnsi" w:hAnsiTheme="minorHAnsi"/>
          <w:b/>
          <w:color w:val="8064A2" w:themeColor="accent4"/>
        </w:rPr>
      </w:pPr>
    </w:p>
    <w:p w:rsidR="00073EE9" w:rsidRPr="00B35AEF" w:rsidRDefault="00B35AEF" w:rsidP="00536B69">
      <w:pPr>
        <w:rPr>
          <w:rFonts w:ascii="Palatino Linotype" w:hAnsi="Palatino Linotype"/>
          <w:sz w:val="20"/>
          <w:szCs w:val="20"/>
        </w:rPr>
      </w:pPr>
      <w:r w:rsidRPr="00B35AEF">
        <w:rPr>
          <w:rFonts w:ascii="Palatino Linotype" w:hAnsi="Palatino Linotype"/>
          <w:color w:val="8064A2" w:themeColor="accent4"/>
          <w:sz w:val="20"/>
          <w:szCs w:val="20"/>
        </w:rPr>
        <w:t xml:space="preserve">Adds </w:t>
      </w:r>
      <w:r>
        <w:rPr>
          <w:rFonts w:ascii="Palatino Linotype" w:hAnsi="Palatino Linotype"/>
          <w:color w:val="8064A2" w:themeColor="accent4"/>
          <w:sz w:val="20"/>
          <w:szCs w:val="20"/>
        </w:rPr>
        <w:t xml:space="preserve">language that cooperation in the assignment of unique student identifiers for students who receive state-subsidized or federally-subsidized early childhood education services is an important element for accountability reporting, and therefore the state education fund may be used for this purpose. </w:t>
      </w:r>
    </w:p>
    <w:p w:rsidR="00073EE9" w:rsidRDefault="00073EE9" w:rsidP="00536B69">
      <w:pPr>
        <w:rPr>
          <w:rFonts w:asciiTheme="minorHAnsi" w:hAnsiTheme="minorHAnsi"/>
          <w:b/>
          <w:color w:val="FF0000"/>
        </w:rPr>
      </w:pPr>
    </w:p>
    <w:p w:rsidR="00BB608A" w:rsidRPr="006C51ED" w:rsidRDefault="00BB608A" w:rsidP="007F78FD">
      <w:pPr>
        <w:rPr>
          <w:rFonts w:asciiTheme="minorHAnsi" w:hAnsiTheme="minorHAnsi"/>
          <w:b/>
          <w:color w:val="DF0FC1"/>
        </w:rPr>
      </w:pPr>
      <w:r w:rsidRPr="00C00114">
        <w:rPr>
          <w:rFonts w:asciiTheme="minorHAnsi" w:hAnsiTheme="minorHAnsi"/>
          <w:b/>
          <w:color w:val="76923C" w:themeColor="accent3" w:themeShade="BF"/>
        </w:rPr>
        <w:t xml:space="preserve">Section </w:t>
      </w:r>
      <w:r w:rsidRPr="000D73EE">
        <w:rPr>
          <w:rFonts w:asciiTheme="minorHAnsi" w:hAnsiTheme="minorHAnsi"/>
          <w:b/>
          <w:strike/>
          <w:color w:val="76923C" w:themeColor="accent3" w:themeShade="BF"/>
        </w:rPr>
        <w:t>10 &amp; 11</w:t>
      </w:r>
      <w:r w:rsidR="000D73EE">
        <w:rPr>
          <w:rFonts w:asciiTheme="minorHAnsi" w:hAnsiTheme="minorHAnsi"/>
          <w:b/>
          <w:strike/>
          <w:color w:val="76923C" w:themeColor="accent3" w:themeShade="BF"/>
        </w:rPr>
        <w:t xml:space="preserve"> </w:t>
      </w:r>
      <w:r w:rsidR="000D73EE" w:rsidRPr="006C51ED">
        <w:rPr>
          <w:rFonts w:asciiTheme="minorHAnsi" w:hAnsiTheme="minorHAnsi"/>
          <w:b/>
          <w:strike/>
          <w:color w:val="E36C0A" w:themeColor="accent6" w:themeShade="BF"/>
        </w:rPr>
        <w:t>11 &amp; 12</w:t>
      </w:r>
      <w:r w:rsidR="006C51ED">
        <w:rPr>
          <w:rFonts w:asciiTheme="minorHAnsi" w:hAnsiTheme="minorHAnsi"/>
          <w:b/>
          <w:color w:val="DF0FC1"/>
        </w:rPr>
        <w:t>10 &amp; 11</w:t>
      </w:r>
    </w:p>
    <w:p w:rsidR="00BB608A" w:rsidRPr="00C00114" w:rsidRDefault="00BB608A" w:rsidP="007F78FD">
      <w:pPr>
        <w:rPr>
          <w:rFonts w:asciiTheme="minorHAnsi" w:hAnsiTheme="minorHAnsi"/>
          <w:b/>
          <w:color w:val="76923C" w:themeColor="accent3" w:themeShade="BF"/>
        </w:rPr>
      </w:pPr>
    </w:p>
    <w:p w:rsidR="00BB608A" w:rsidRPr="00C00114" w:rsidRDefault="00BB608A" w:rsidP="007F78FD">
      <w:pPr>
        <w:rPr>
          <w:rFonts w:ascii="Palatino Linotype" w:hAnsi="Palatino Linotype"/>
          <w:color w:val="8064A2" w:themeColor="accent4"/>
          <w:sz w:val="20"/>
          <w:szCs w:val="20"/>
        </w:rPr>
      </w:pPr>
      <w:r w:rsidRPr="00C00114">
        <w:rPr>
          <w:rFonts w:ascii="Palatino Linotype" w:hAnsi="Palatino Linotype"/>
          <w:color w:val="76923C" w:themeColor="accent3" w:themeShade="BF"/>
          <w:sz w:val="20"/>
          <w:szCs w:val="20"/>
        </w:rPr>
        <w:t>This section ensures that the statutory minimum per pupil funding (95 percent of the statewide average) is available to all charter schools.  Currently, some schools fall below minimum funding due to the alternative at-risk calculations.  This</w:t>
      </w:r>
      <w:r w:rsidR="00C00114" w:rsidRPr="00C00114">
        <w:rPr>
          <w:rFonts w:ascii="Palatino Linotype" w:hAnsi="Palatino Linotype"/>
          <w:color w:val="76923C" w:themeColor="accent3" w:themeShade="BF"/>
          <w:sz w:val="20"/>
          <w:szCs w:val="20"/>
        </w:rPr>
        <w:t xml:space="preserve"> language </w:t>
      </w:r>
      <w:r w:rsidRPr="00C00114">
        <w:rPr>
          <w:rFonts w:ascii="Palatino Linotype" w:hAnsi="Palatino Linotype"/>
          <w:color w:val="76923C" w:themeColor="accent3" w:themeShade="BF"/>
          <w:sz w:val="20"/>
          <w:szCs w:val="20"/>
        </w:rPr>
        <w:t>states that a charter school</w:t>
      </w:r>
      <w:r w:rsidR="004035F4" w:rsidRPr="00C00114">
        <w:rPr>
          <w:rFonts w:ascii="Palatino Linotype" w:hAnsi="Palatino Linotype"/>
          <w:color w:val="76923C" w:themeColor="accent3" w:themeShade="BF"/>
          <w:sz w:val="20"/>
          <w:szCs w:val="20"/>
        </w:rPr>
        <w:t>’s</w:t>
      </w:r>
      <w:r w:rsidRPr="00C00114">
        <w:rPr>
          <w:rFonts w:ascii="Palatino Linotype" w:hAnsi="Palatino Linotype"/>
          <w:color w:val="76923C" w:themeColor="accent3" w:themeShade="BF"/>
          <w:sz w:val="20"/>
          <w:szCs w:val="20"/>
        </w:rPr>
        <w:t xml:space="preserve"> </w:t>
      </w:r>
      <w:r w:rsidR="004035F4" w:rsidRPr="00C00114">
        <w:rPr>
          <w:rFonts w:ascii="Palatino Linotype" w:hAnsi="Palatino Linotype"/>
          <w:color w:val="76923C" w:themeColor="accent3" w:themeShade="BF"/>
          <w:sz w:val="20"/>
          <w:szCs w:val="20"/>
        </w:rPr>
        <w:t xml:space="preserve">per pupil funding is the </w:t>
      </w:r>
      <w:r w:rsidRPr="00C00114">
        <w:rPr>
          <w:rFonts w:ascii="Palatino Linotype" w:hAnsi="Palatino Linotype"/>
          <w:color w:val="76923C" w:themeColor="accent3" w:themeShade="BF"/>
          <w:sz w:val="20"/>
          <w:szCs w:val="20"/>
        </w:rPr>
        <w:t xml:space="preserve">greater of the </w:t>
      </w:r>
      <w:r w:rsidR="004035F4" w:rsidRPr="00C00114">
        <w:rPr>
          <w:rFonts w:ascii="Palatino Linotype" w:hAnsi="Palatino Linotype"/>
          <w:color w:val="76923C" w:themeColor="accent3" w:themeShade="BF"/>
          <w:sz w:val="20"/>
          <w:szCs w:val="20"/>
        </w:rPr>
        <w:t xml:space="preserve">formula </w:t>
      </w:r>
      <w:r w:rsidRPr="00C00114">
        <w:rPr>
          <w:rFonts w:ascii="Palatino Linotype" w:hAnsi="Palatino Linotype"/>
          <w:color w:val="76923C" w:themeColor="accent3" w:themeShade="BF"/>
          <w:sz w:val="20"/>
          <w:szCs w:val="20"/>
        </w:rPr>
        <w:t>per pupil funding plus the at-risk funding or the minimum per pupil funding</w:t>
      </w:r>
      <w:r w:rsidR="004035F4" w:rsidRPr="00C00114">
        <w:rPr>
          <w:rFonts w:ascii="Palatino Linotype" w:hAnsi="Palatino Linotype"/>
          <w:color w:val="76923C" w:themeColor="accent3" w:themeShade="BF"/>
          <w:sz w:val="20"/>
          <w:szCs w:val="20"/>
        </w:rPr>
        <w:t xml:space="preserve"> (floor funding)</w:t>
      </w:r>
      <w:r w:rsidRPr="00C00114">
        <w:rPr>
          <w:rFonts w:ascii="Palatino Linotype" w:hAnsi="Palatino Linotype"/>
          <w:color w:val="76923C" w:themeColor="accent3" w:themeShade="BF"/>
          <w:sz w:val="20"/>
          <w:szCs w:val="20"/>
        </w:rPr>
        <w:t>.</w:t>
      </w:r>
      <w:r w:rsidRPr="002352F7">
        <w:rPr>
          <w:rFonts w:ascii="Palatino Linotype" w:hAnsi="Palatino Linotype"/>
          <w:color w:val="76923C" w:themeColor="accent3" w:themeShade="BF"/>
          <w:sz w:val="20"/>
          <w:szCs w:val="20"/>
        </w:rPr>
        <w:t xml:space="preserve"> </w:t>
      </w:r>
    </w:p>
    <w:p w:rsidR="00B35AEF" w:rsidRDefault="00B35AEF" w:rsidP="007F78FD">
      <w:pPr>
        <w:rPr>
          <w:rFonts w:ascii="Palatino Linotype" w:hAnsi="Palatino Linotype"/>
          <w:color w:val="76923C" w:themeColor="accent3" w:themeShade="BF"/>
          <w:sz w:val="20"/>
          <w:szCs w:val="20"/>
        </w:rPr>
      </w:pPr>
    </w:p>
    <w:p w:rsidR="00BB608A" w:rsidRPr="006C51ED" w:rsidRDefault="00BB608A" w:rsidP="007F78FD">
      <w:pPr>
        <w:rPr>
          <w:rFonts w:asciiTheme="minorHAnsi" w:hAnsiTheme="minorHAnsi"/>
          <w:b/>
          <w:color w:val="DF0FC1"/>
        </w:rPr>
      </w:pPr>
      <w:r w:rsidRPr="00BB608A">
        <w:rPr>
          <w:rFonts w:asciiTheme="minorHAnsi" w:hAnsiTheme="minorHAnsi"/>
          <w:b/>
          <w:color w:val="76923C" w:themeColor="accent3" w:themeShade="BF"/>
        </w:rPr>
        <w:t xml:space="preserve">Section </w:t>
      </w:r>
      <w:r w:rsidRPr="000D73EE">
        <w:rPr>
          <w:rFonts w:asciiTheme="minorHAnsi" w:hAnsiTheme="minorHAnsi"/>
          <w:b/>
          <w:strike/>
          <w:color w:val="76923C" w:themeColor="accent3" w:themeShade="BF"/>
        </w:rPr>
        <w:t>12</w:t>
      </w:r>
      <w:r w:rsidR="000D73EE">
        <w:rPr>
          <w:rFonts w:asciiTheme="minorHAnsi" w:hAnsiTheme="minorHAnsi"/>
          <w:b/>
          <w:strike/>
          <w:color w:val="76923C" w:themeColor="accent3" w:themeShade="BF"/>
        </w:rPr>
        <w:t xml:space="preserve"> </w:t>
      </w:r>
      <w:r w:rsidR="000D73EE" w:rsidRPr="006C51ED">
        <w:rPr>
          <w:rFonts w:asciiTheme="minorHAnsi" w:hAnsiTheme="minorHAnsi"/>
          <w:b/>
          <w:strike/>
          <w:color w:val="E36C0A" w:themeColor="accent6" w:themeShade="BF"/>
        </w:rPr>
        <w:t>13</w:t>
      </w:r>
      <w:r w:rsidR="006C51ED">
        <w:rPr>
          <w:rFonts w:asciiTheme="minorHAnsi" w:hAnsiTheme="minorHAnsi"/>
          <w:b/>
          <w:strike/>
          <w:color w:val="E36C0A" w:themeColor="accent6" w:themeShade="BF"/>
        </w:rPr>
        <w:t xml:space="preserve"> </w:t>
      </w:r>
      <w:r w:rsidR="006C51ED">
        <w:rPr>
          <w:rFonts w:asciiTheme="minorHAnsi" w:hAnsiTheme="minorHAnsi"/>
          <w:b/>
          <w:color w:val="DF0FC1"/>
        </w:rPr>
        <w:t>12</w:t>
      </w:r>
    </w:p>
    <w:p w:rsidR="00C354E2" w:rsidRDefault="00C354E2" w:rsidP="007F78FD">
      <w:pPr>
        <w:rPr>
          <w:rFonts w:ascii="Palatino Linotype" w:hAnsi="Palatino Linotype"/>
          <w:color w:val="76923C" w:themeColor="accent3" w:themeShade="BF"/>
          <w:sz w:val="20"/>
          <w:szCs w:val="20"/>
        </w:rPr>
      </w:pPr>
    </w:p>
    <w:p w:rsidR="00BB608A" w:rsidRDefault="00BB608A" w:rsidP="007F78FD">
      <w:pPr>
        <w:rPr>
          <w:rFonts w:ascii="Palatino Linotype" w:hAnsi="Palatino Linotype"/>
          <w:color w:val="76923C" w:themeColor="accent3" w:themeShade="BF"/>
          <w:sz w:val="20"/>
          <w:szCs w:val="20"/>
        </w:rPr>
      </w:pPr>
      <w:proofErr w:type="gramStart"/>
      <w:r w:rsidRPr="002352F7">
        <w:rPr>
          <w:rFonts w:ascii="Palatino Linotype" w:hAnsi="Palatino Linotype"/>
          <w:color w:val="76923C" w:themeColor="accent3" w:themeShade="BF"/>
          <w:sz w:val="20"/>
          <w:szCs w:val="20"/>
        </w:rPr>
        <w:t>Provides funding for the Colorado Teacher of the Year program.</w:t>
      </w:r>
      <w:proofErr w:type="gramEnd"/>
    </w:p>
    <w:p w:rsidR="002352F7" w:rsidRDefault="002352F7" w:rsidP="007F78FD">
      <w:pPr>
        <w:rPr>
          <w:rFonts w:ascii="Palatino Linotype" w:hAnsi="Palatino Linotype"/>
          <w:color w:val="76923C" w:themeColor="accent3" w:themeShade="BF"/>
          <w:sz w:val="20"/>
          <w:szCs w:val="20"/>
        </w:rPr>
      </w:pPr>
    </w:p>
    <w:p w:rsidR="00CF3130" w:rsidRPr="006C51ED" w:rsidRDefault="00CF3130" w:rsidP="007F78FD">
      <w:pPr>
        <w:rPr>
          <w:rFonts w:asciiTheme="minorHAnsi" w:hAnsiTheme="minorHAnsi"/>
          <w:b/>
          <w:color w:val="DF0FC1"/>
        </w:rPr>
      </w:pPr>
      <w:r w:rsidRPr="00CF3130">
        <w:rPr>
          <w:rFonts w:asciiTheme="minorHAnsi" w:hAnsiTheme="minorHAnsi"/>
          <w:b/>
          <w:color w:val="197A9B"/>
        </w:rPr>
        <w:t xml:space="preserve">Section </w:t>
      </w:r>
      <w:r w:rsidRPr="00BB608A">
        <w:rPr>
          <w:rFonts w:asciiTheme="minorHAnsi" w:hAnsiTheme="minorHAnsi"/>
          <w:b/>
          <w:strike/>
          <w:color w:val="197A9B"/>
        </w:rPr>
        <w:t>9</w:t>
      </w:r>
      <w:r w:rsidR="00BB608A">
        <w:rPr>
          <w:rFonts w:asciiTheme="minorHAnsi" w:hAnsiTheme="minorHAnsi"/>
          <w:b/>
          <w:strike/>
          <w:color w:val="197A9B"/>
        </w:rPr>
        <w:t xml:space="preserve"> </w:t>
      </w:r>
      <w:r w:rsidR="00BB608A" w:rsidRPr="000D73EE">
        <w:rPr>
          <w:rFonts w:asciiTheme="minorHAnsi" w:hAnsiTheme="minorHAnsi"/>
          <w:b/>
          <w:strike/>
          <w:color w:val="76923C" w:themeColor="accent3" w:themeShade="BF"/>
        </w:rPr>
        <w:t>13</w:t>
      </w:r>
      <w:r w:rsidR="000D73EE">
        <w:rPr>
          <w:rFonts w:asciiTheme="minorHAnsi" w:hAnsiTheme="minorHAnsi"/>
          <w:b/>
          <w:strike/>
          <w:color w:val="76923C" w:themeColor="accent3" w:themeShade="BF"/>
        </w:rPr>
        <w:t xml:space="preserve"> </w:t>
      </w:r>
      <w:r w:rsidR="000D73EE" w:rsidRPr="006C51ED">
        <w:rPr>
          <w:rFonts w:asciiTheme="minorHAnsi" w:hAnsiTheme="minorHAnsi"/>
          <w:b/>
          <w:strike/>
          <w:color w:val="E36C0A" w:themeColor="accent6" w:themeShade="BF"/>
        </w:rPr>
        <w:t>14</w:t>
      </w:r>
      <w:r w:rsidR="006C51ED">
        <w:rPr>
          <w:rFonts w:asciiTheme="minorHAnsi" w:hAnsiTheme="minorHAnsi"/>
          <w:b/>
          <w:strike/>
          <w:color w:val="E36C0A" w:themeColor="accent6" w:themeShade="BF"/>
        </w:rPr>
        <w:t xml:space="preserve"> </w:t>
      </w:r>
      <w:r w:rsidR="006C51ED" w:rsidRPr="006C51ED">
        <w:rPr>
          <w:rFonts w:asciiTheme="minorHAnsi" w:hAnsiTheme="minorHAnsi"/>
          <w:b/>
          <w:color w:val="DF0FC1"/>
        </w:rPr>
        <w:t>13</w:t>
      </w:r>
    </w:p>
    <w:p w:rsidR="00CF3130" w:rsidRDefault="00CF3130" w:rsidP="007F78FD">
      <w:pPr>
        <w:rPr>
          <w:rFonts w:asciiTheme="minorHAnsi" w:hAnsiTheme="minorHAnsi"/>
          <w:b/>
          <w:color w:val="197A9B"/>
        </w:rPr>
      </w:pPr>
    </w:p>
    <w:p w:rsidR="00D37B24" w:rsidRPr="00D37B24" w:rsidRDefault="00D37B24" w:rsidP="007F78FD">
      <w:pPr>
        <w:rPr>
          <w:rFonts w:ascii="Palatino Linotype" w:hAnsi="Palatino Linotype"/>
          <w:color w:val="197A9B"/>
          <w:sz w:val="20"/>
          <w:szCs w:val="20"/>
        </w:rPr>
      </w:pPr>
      <w:r w:rsidRPr="00D37B24">
        <w:rPr>
          <w:rFonts w:ascii="Palatino Linotype" w:hAnsi="Palatino Linotype"/>
          <w:color w:val="197A9B"/>
          <w:sz w:val="20"/>
          <w:szCs w:val="20"/>
        </w:rPr>
        <w:t>Repeals and reenacts with amendments article 24 of title 22 – the English Language Proficiency Act.  This was included in HB14-1292, the Student Su</w:t>
      </w:r>
      <w:r w:rsidR="00352278">
        <w:rPr>
          <w:rFonts w:ascii="Palatino Linotype" w:hAnsi="Palatino Linotype"/>
          <w:color w:val="197A9B"/>
          <w:sz w:val="20"/>
          <w:szCs w:val="20"/>
        </w:rPr>
        <w:t xml:space="preserve">ccess Act.  </w:t>
      </w:r>
      <w:r w:rsidRPr="00D37B24">
        <w:rPr>
          <w:rFonts w:ascii="Palatino Linotype" w:hAnsi="Palatino Linotype"/>
          <w:color w:val="197A9B"/>
          <w:sz w:val="20"/>
          <w:szCs w:val="20"/>
        </w:rPr>
        <w:t xml:space="preserve"> </w:t>
      </w:r>
    </w:p>
    <w:p w:rsidR="00D37B24" w:rsidRPr="00D37B24" w:rsidRDefault="00D37B24" w:rsidP="007F78FD">
      <w:pPr>
        <w:rPr>
          <w:rFonts w:ascii="Palatino Linotype" w:hAnsi="Palatino Linotype"/>
          <w:color w:val="197A9B"/>
          <w:sz w:val="20"/>
          <w:szCs w:val="20"/>
        </w:rPr>
      </w:pPr>
    </w:p>
    <w:p w:rsidR="00C814D1" w:rsidRDefault="00D37B24" w:rsidP="007F78FD">
      <w:pPr>
        <w:rPr>
          <w:rFonts w:ascii="Palatino Linotype" w:hAnsi="Palatino Linotype"/>
          <w:color w:val="197A9B"/>
          <w:sz w:val="20"/>
          <w:szCs w:val="20"/>
        </w:rPr>
      </w:pPr>
      <w:r w:rsidRPr="00D37B24">
        <w:rPr>
          <w:rFonts w:ascii="Palatino Linotype" w:hAnsi="Palatino Linotype"/>
          <w:color w:val="197A9B"/>
          <w:sz w:val="20"/>
          <w:szCs w:val="20"/>
        </w:rPr>
        <w:t>Briefly – the bill expands funding to five years; creates a grant program subject to available appropriations</w:t>
      </w:r>
      <w:r w:rsidR="00352278">
        <w:rPr>
          <w:rFonts w:ascii="Palatino Linotype" w:hAnsi="Palatino Linotype"/>
          <w:color w:val="197A9B"/>
          <w:sz w:val="20"/>
          <w:szCs w:val="20"/>
        </w:rPr>
        <w:t>.</w:t>
      </w:r>
      <w:r w:rsidR="00C814D1">
        <w:rPr>
          <w:rFonts w:ascii="Palatino Linotype" w:hAnsi="Palatino Linotype"/>
          <w:color w:val="197A9B"/>
          <w:sz w:val="20"/>
          <w:szCs w:val="20"/>
        </w:rPr>
        <w:t xml:space="preserve"> </w:t>
      </w:r>
      <w:r w:rsidR="00C814D1">
        <w:rPr>
          <w:rFonts w:ascii="Palatino Linotype" w:hAnsi="Palatino Linotype"/>
          <w:color w:val="76923C" w:themeColor="accent3" w:themeShade="BF"/>
          <w:sz w:val="20"/>
          <w:szCs w:val="20"/>
        </w:rPr>
        <w:t xml:space="preserve">The appropriation for the grant program is $500,000.  </w:t>
      </w:r>
      <w:r w:rsidRPr="00D37B24">
        <w:rPr>
          <w:rFonts w:ascii="Palatino Linotype" w:hAnsi="Palatino Linotype"/>
          <w:color w:val="197A9B"/>
          <w:sz w:val="20"/>
          <w:szCs w:val="20"/>
        </w:rPr>
        <w:t xml:space="preserve">  </w:t>
      </w:r>
      <w:r w:rsidRPr="00C814D1">
        <w:rPr>
          <w:rFonts w:ascii="Palatino Linotype" w:hAnsi="Palatino Linotype"/>
          <w:strike/>
          <w:color w:val="197A9B"/>
          <w:sz w:val="20"/>
          <w:szCs w:val="20"/>
        </w:rPr>
        <w:t>The appropriation for the English language proficiency categorical program is increased by $30,000,000.</w:t>
      </w:r>
    </w:p>
    <w:p w:rsidR="00C814D1" w:rsidRDefault="00C814D1" w:rsidP="007F78FD">
      <w:pPr>
        <w:rPr>
          <w:rFonts w:ascii="Palatino Linotype" w:hAnsi="Palatino Linotype"/>
          <w:color w:val="197A9B"/>
          <w:sz w:val="20"/>
          <w:szCs w:val="20"/>
        </w:rPr>
      </w:pPr>
    </w:p>
    <w:p w:rsidR="00CF3130" w:rsidRDefault="00C814D1" w:rsidP="00C814D1">
      <w:pPr>
        <w:autoSpaceDE w:val="0"/>
        <w:autoSpaceDN w:val="0"/>
        <w:adjustRightInd w:val="0"/>
        <w:rPr>
          <w:rFonts w:ascii="Palatino Linotype" w:hAnsi="Palatino Linotype"/>
          <w:color w:val="76923C" w:themeColor="accent3" w:themeShade="BF"/>
          <w:sz w:val="20"/>
          <w:szCs w:val="20"/>
        </w:rPr>
      </w:pPr>
      <w:r>
        <w:rPr>
          <w:rFonts w:ascii="Palatino Linotype" w:hAnsi="Palatino Linotype"/>
          <w:color w:val="76923C" w:themeColor="accent3" w:themeShade="BF"/>
          <w:sz w:val="20"/>
          <w:szCs w:val="20"/>
        </w:rPr>
        <w:t xml:space="preserve">The amended bill creates a creates a new program called the Professional Development and Student Support Program (Support Program) which will provide </w:t>
      </w:r>
      <w:r w:rsidRPr="001856ED">
        <w:rPr>
          <w:rFonts w:ascii="Palatino Linotype" w:hAnsi="Palatino Linotype"/>
          <w:strike/>
          <w:color w:val="76923C" w:themeColor="accent3" w:themeShade="BF"/>
          <w:sz w:val="20"/>
          <w:szCs w:val="20"/>
        </w:rPr>
        <w:t>$30</w:t>
      </w:r>
      <w:r w:rsidR="002352F7">
        <w:rPr>
          <w:rFonts w:ascii="Palatino Linotype" w:hAnsi="Palatino Linotype"/>
          <w:color w:val="76923C" w:themeColor="accent3" w:themeShade="BF"/>
          <w:sz w:val="20"/>
          <w:szCs w:val="20"/>
        </w:rPr>
        <w:t xml:space="preserve"> </w:t>
      </w:r>
      <w:r w:rsidR="001856ED">
        <w:rPr>
          <w:rFonts w:ascii="Palatino Linotype" w:hAnsi="Palatino Linotype"/>
          <w:color w:val="76923C" w:themeColor="accent3" w:themeShade="BF"/>
          <w:sz w:val="20"/>
          <w:szCs w:val="20"/>
        </w:rPr>
        <w:t xml:space="preserve"> </w:t>
      </w:r>
      <w:r w:rsidR="001856ED">
        <w:rPr>
          <w:rFonts w:ascii="Palatino Linotype" w:hAnsi="Palatino Linotype"/>
          <w:color w:val="DF0FC1"/>
          <w:sz w:val="20"/>
          <w:szCs w:val="20"/>
        </w:rPr>
        <w:t xml:space="preserve">$27 </w:t>
      </w:r>
      <w:r w:rsidR="002352F7">
        <w:rPr>
          <w:rFonts w:ascii="Palatino Linotype" w:hAnsi="Palatino Linotype"/>
          <w:color w:val="76923C" w:themeColor="accent3" w:themeShade="BF"/>
          <w:sz w:val="20"/>
          <w:szCs w:val="20"/>
        </w:rPr>
        <w:t xml:space="preserve">million </w:t>
      </w:r>
      <w:r>
        <w:rPr>
          <w:rFonts w:ascii="Palatino Linotype" w:hAnsi="Palatino Linotype"/>
          <w:color w:val="76923C" w:themeColor="accent3" w:themeShade="BF"/>
          <w:sz w:val="20"/>
          <w:szCs w:val="20"/>
        </w:rPr>
        <w:t xml:space="preserve">in funding for English language learners (ELL).  The funds will be distributed on a per pupil basis as follows:  75 </w:t>
      </w:r>
      <w:r w:rsidRPr="00C814D1">
        <w:rPr>
          <w:rFonts w:ascii="Palatino Linotype" w:hAnsi="Palatino Linotype"/>
          <w:color w:val="76923C" w:themeColor="accent3" w:themeShade="BF"/>
          <w:sz w:val="20"/>
          <w:szCs w:val="20"/>
        </w:rPr>
        <w:t>percent to ELLs</w:t>
      </w:r>
      <w:r>
        <w:rPr>
          <w:rFonts w:ascii="Palatino Linotype" w:hAnsi="Palatino Linotype"/>
          <w:color w:val="76923C" w:themeColor="accent3" w:themeShade="BF"/>
          <w:sz w:val="20"/>
          <w:szCs w:val="20"/>
        </w:rPr>
        <w:t xml:space="preserve"> </w:t>
      </w:r>
      <w:r w:rsidRPr="00C814D1">
        <w:rPr>
          <w:rFonts w:ascii="Palatino Linotype" w:hAnsi="Palatino Linotype"/>
          <w:color w:val="76923C" w:themeColor="accent3" w:themeShade="BF"/>
          <w:sz w:val="20"/>
          <w:szCs w:val="20"/>
        </w:rPr>
        <w:t>who do not comprehend or speak English or who comprehend and speak some English, but whose</w:t>
      </w:r>
      <w:r>
        <w:rPr>
          <w:rFonts w:ascii="Palatino Linotype" w:hAnsi="Palatino Linotype"/>
          <w:color w:val="76923C" w:themeColor="accent3" w:themeShade="BF"/>
          <w:sz w:val="20"/>
          <w:szCs w:val="20"/>
        </w:rPr>
        <w:t xml:space="preserve"> </w:t>
      </w:r>
      <w:r w:rsidRPr="00C814D1">
        <w:rPr>
          <w:rFonts w:ascii="Palatino Linotype" w:hAnsi="Palatino Linotype"/>
          <w:color w:val="76923C" w:themeColor="accent3" w:themeShade="BF"/>
          <w:sz w:val="20"/>
          <w:szCs w:val="20"/>
        </w:rPr>
        <w:t>primary language is something other than English; and 25 percent to ELLs who comprehend and</w:t>
      </w:r>
      <w:r>
        <w:rPr>
          <w:rFonts w:ascii="Palatino Linotype" w:hAnsi="Palatino Linotype"/>
          <w:color w:val="76923C" w:themeColor="accent3" w:themeShade="BF"/>
          <w:sz w:val="20"/>
          <w:szCs w:val="20"/>
        </w:rPr>
        <w:t xml:space="preserve"> </w:t>
      </w:r>
      <w:r w:rsidRPr="00C814D1">
        <w:rPr>
          <w:rFonts w:ascii="Palatino Linotype" w:hAnsi="Palatino Linotype"/>
          <w:color w:val="76923C" w:themeColor="accent3" w:themeShade="BF"/>
          <w:sz w:val="20"/>
          <w:szCs w:val="20"/>
        </w:rPr>
        <w:t>speak English, but whose proficiency is below acceptable levels.</w:t>
      </w:r>
      <w:r>
        <w:rPr>
          <w:rFonts w:ascii="Palatino Linotype" w:hAnsi="Palatino Linotype"/>
          <w:color w:val="76923C" w:themeColor="accent3" w:themeShade="BF"/>
          <w:sz w:val="20"/>
          <w:szCs w:val="20"/>
        </w:rPr>
        <w:t xml:space="preserve">  ELL students would be able to receive this funding for five years instead of the current two.</w:t>
      </w:r>
    </w:p>
    <w:p w:rsidR="00C814D1" w:rsidRDefault="00C814D1" w:rsidP="00C814D1">
      <w:pPr>
        <w:autoSpaceDE w:val="0"/>
        <w:autoSpaceDN w:val="0"/>
        <w:adjustRightInd w:val="0"/>
        <w:rPr>
          <w:rFonts w:ascii="Palatino Linotype" w:hAnsi="Palatino Linotype"/>
          <w:color w:val="76923C" w:themeColor="accent3" w:themeShade="BF"/>
          <w:sz w:val="20"/>
          <w:szCs w:val="20"/>
        </w:rPr>
      </w:pPr>
    </w:p>
    <w:p w:rsidR="00C814D1" w:rsidRDefault="002352F7" w:rsidP="00C814D1">
      <w:pPr>
        <w:autoSpaceDE w:val="0"/>
        <w:autoSpaceDN w:val="0"/>
        <w:adjustRightInd w:val="0"/>
        <w:rPr>
          <w:rFonts w:ascii="Palatino Linotype" w:hAnsi="Palatino Linotype"/>
          <w:color w:val="76923C" w:themeColor="accent3" w:themeShade="BF"/>
          <w:sz w:val="20"/>
          <w:szCs w:val="20"/>
        </w:rPr>
      </w:pPr>
      <w:r>
        <w:rPr>
          <w:rFonts w:ascii="Palatino Linotype" w:hAnsi="Palatino Linotype"/>
          <w:color w:val="76923C" w:themeColor="accent3" w:themeShade="BF"/>
          <w:sz w:val="20"/>
          <w:szCs w:val="20"/>
        </w:rPr>
        <w:t>Note that the bill does not consider the additional $30 million as part of the existing categorical program.</w:t>
      </w:r>
    </w:p>
    <w:p w:rsidR="002352F7" w:rsidRDefault="002352F7" w:rsidP="00C814D1">
      <w:pPr>
        <w:autoSpaceDE w:val="0"/>
        <w:autoSpaceDN w:val="0"/>
        <w:adjustRightInd w:val="0"/>
        <w:rPr>
          <w:rFonts w:ascii="Palatino Linotype" w:hAnsi="Palatino Linotype"/>
          <w:color w:val="76923C" w:themeColor="accent3" w:themeShade="BF"/>
          <w:sz w:val="20"/>
          <w:szCs w:val="20"/>
        </w:rPr>
      </w:pPr>
    </w:p>
    <w:p w:rsidR="002352F7" w:rsidRDefault="002352F7" w:rsidP="002352F7">
      <w:pPr>
        <w:rPr>
          <w:rFonts w:asciiTheme="minorHAnsi" w:hAnsiTheme="minorHAnsi"/>
          <w:b/>
          <w:color w:val="76923C" w:themeColor="accent3" w:themeShade="BF"/>
        </w:rPr>
      </w:pPr>
      <w:r>
        <w:rPr>
          <w:rFonts w:asciiTheme="minorHAnsi" w:hAnsiTheme="minorHAnsi"/>
          <w:b/>
          <w:color w:val="76923C" w:themeColor="accent3" w:themeShade="BF"/>
        </w:rPr>
        <w:t xml:space="preserve">Section </w:t>
      </w:r>
      <w:r w:rsidRPr="00C354E2">
        <w:rPr>
          <w:rFonts w:asciiTheme="minorHAnsi" w:hAnsiTheme="minorHAnsi"/>
          <w:b/>
          <w:strike/>
          <w:color w:val="76923C" w:themeColor="accent3" w:themeShade="BF"/>
        </w:rPr>
        <w:t>14</w:t>
      </w:r>
      <w:r>
        <w:rPr>
          <w:rFonts w:asciiTheme="minorHAnsi" w:hAnsiTheme="minorHAnsi"/>
          <w:b/>
          <w:color w:val="76923C" w:themeColor="accent3" w:themeShade="BF"/>
        </w:rPr>
        <w:t xml:space="preserve">, </w:t>
      </w:r>
      <w:r w:rsidR="00195971">
        <w:rPr>
          <w:rFonts w:asciiTheme="minorHAnsi" w:hAnsiTheme="minorHAnsi"/>
          <w:b/>
          <w:color w:val="DF0FC1"/>
        </w:rPr>
        <w:t xml:space="preserve">14, </w:t>
      </w:r>
      <w:r>
        <w:rPr>
          <w:rFonts w:asciiTheme="minorHAnsi" w:hAnsiTheme="minorHAnsi"/>
          <w:b/>
          <w:color w:val="76923C" w:themeColor="accent3" w:themeShade="BF"/>
        </w:rPr>
        <w:t>15, 16, 17, 18, 19, 20, 21, 22</w:t>
      </w:r>
      <w:r w:rsidR="00C354E2">
        <w:rPr>
          <w:rFonts w:asciiTheme="minorHAnsi" w:hAnsiTheme="minorHAnsi"/>
          <w:b/>
          <w:color w:val="76923C" w:themeColor="accent3" w:themeShade="BF"/>
        </w:rPr>
        <w:t xml:space="preserve">, </w:t>
      </w:r>
      <w:r w:rsidR="00C354E2" w:rsidRPr="00195971">
        <w:rPr>
          <w:rFonts w:asciiTheme="minorHAnsi" w:hAnsiTheme="minorHAnsi"/>
          <w:b/>
          <w:strike/>
          <w:color w:val="E36C0A" w:themeColor="accent6" w:themeShade="BF"/>
        </w:rPr>
        <w:t>23</w:t>
      </w:r>
    </w:p>
    <w:p w:rsidR="002352F7" w:rsidRDefault="002352F7" w:rsidP="002352F7">
      <w:pPr>
        <w:rPr>
          <w:rFonts w:asciiTheme="minorHAnsi" w:hAnsiTheme="minorHAnsi"/>
          <w:b/>
          <w:color w:val="76923C" w:themeColor="accent3" w:themeShade="BF"/>
        </w:rPr>
      </w:pPr>
    </w:p>
    <w:p w:rsidR="002352F7" w:rsidRPr="002352F7" w:rsidRDefault="00C354E2" w:rsidP="002352F7">
      <w:pPr>
        <w:autoSpaceDE w:val="0"/>
        <w:autoSpaceDN w:val="0"/>
        <w:adjustRightInd w:val="0"/>
        <w:rPr>
          <w:rFonts w:ascii="Palatino Linotype" w:hAnsi="Palatino Linotype"/>
          <w:color w:val="76923C" w:themeColor="accent3" w:themeShade="BF"/>
          <w:sz w:val="20"/>
          <w:szCs w:val="20"/>
        </w:rPr>
      </w:pPr>
      <w:r>
        <w:rPr>
          <w:rFonts w:ascii="Palatino Linotype" w:hAnsi="Palatino Linotype"/>
          <w:color w:val="76923C" w:themeColor="accent3" w:themeShade="BF"/>
          <w:sz w:val="20"/>
          <w:szCs w:val="20"/>
        </w:rPr>
        <w:t>Provides conforming</w:t>
      </w:r>
      <w:r w:rsidR="002352F7">
        <w:rPr>
          <w:rFonts w:ascii="Palatino Linotype" w:hAnsi="Palatino Linotype"/>
          <w:color w:val="76923C" w:themeColor="accent3" w:themeShade="BF"/>
          <w:sz w:val="20"/>
          <w:szCs w:val="20"/>
        </w:rPr>
        <w:t xml:space="preserve"> language throughout statutes to refer to </w:t>
      </w:r>
      <w:r w:rsidR="00B35AEF">
        <w:rPr>
          <w:rFonts w:ascii="Palatino Linotype" w:hAnsi="Palatino Linotype"/>
          <w:color w:val="76923C" w:themeColor="accent3" w:themeShade="BF"/>
          <w:sz w:val="20"/>
          <w:szCs w:val="20"/>
        </w:rPr>
        <w:t>English language learners in lieu</w:t>
      </w:r>
      <w:r w:rsidR="002352F7">
        <w:rPr>
          <w:rFonts w:ascii="Palatino Linotype" w:hAnsi="Palatino Linotype"/>
          <w:color w:val="76923C" w:themeColor="accent3" w:themeShade="BF"/>
          <w:sz w:val="20"/>
          <w:szCs w:val="20"/>
        </w:rPr>
        <w:t xml:space="preserve"> of limited English proficiency.</w:t>
      </w:r>
    </w:p>
    <w:p w:rsidR="005F278B" w:rsidRPr="00D37B24" w:rsidRDefault="005F278B" w:rsidP="007F78FD">
      <w:pPr>
        <w:rPr>
          <w:rFonts w:ascii="Palatino Linotype" w:hAnsi="Palatino Linotype"/>
          <w:b/>
          <w:color w:val="197A9B"/>
          <w:sz w:val="20"/>
          <w:szCs w:val="20"/>
        </w:rPr>
      </w:pPr>
    </w:p>
    <w:p w:rsidR="0029061E" w:rsidRPr="00464485" w:rsidRDefault="00536B69" w:rsidP="007F78FD">
      <w:pPr>
        <w:rPr>
          <w:rFonts w:asciiTheme="minorHAnsi" w:hAnsiTheme="minorHAnsi"/>
          <w:b/>
          <w:color w:val="FF0000"/>
        </w:rPr>
      </w:pPr>
      <w:r w:rsidRPr="00464485">
        <w:rPr>
          <w:rFonts w:asciiTheme="minorHAnsi" w:hAnsiTheme="minorHAnsi"/>
          <w:b/>
        </w:rPr>
        <w:t xml:space="preserve">Section </w:t>
      </w:r>
      <w:r w:rsidR="00CF3130" w:rsidRPr="002352F7">
        <w:rPr>
          <w:rFonts w:asciiTheme="minorHAnsi" w:hAnsiTheme="minorHAnsi"/>
          <w:b/>
          <w:strike/>
          <w:color w:val="197A9B"/>
        </w:rPr>
        <w:t>10</w:t>
      </w:r>
      <w:r w:rsidR="00F95D59" w:rsidRPr="002352F7">
        <w:rPr>
          <w:rFonts w:asciiTheme="minorHAnsi" w:hAnsiTheme="minorHAnsi"/>
          <w:b/>
          <w:strike/>
          <w:color w:val="197A9B"/>
        </w:rPr>
        <w:t xml:space="preserve">, 11, 12, </w:t>
      </w:r>
      <w:r w:rsidR="00352278" w:rsidRPr="002352F7">
        <w:rPr>
          <w:rFonts w:asciiTheme="minorHAnsi" w:hAnsiTheme="minorHAnsi"/>
          <w:b/>
          <w:strike/>
          <w:color w:val="197A9B"/>
        </w:rPr>
        <w:t>13</w:t>
      </w:r>
      <w:r w:rsidR="00F95D59" w:rsidRPr="002352F7">
        <w:rPr>
          <w:rFonts w:asciiTheme="minorHAnsi" w:hAnsiTheme="minorHAnsi"/>
          <w:b/>
          <w:strike/>
          <w:color w:val="197A9B"/>
        </w:rPr>
        <w:t xml:space="preserve"> &amp; </w:t>
      </w:r>
      <w:r w:rsidR="00F95D59" w:rsidRPr="00C354E2">
        <w:rPr>
          <w:rFonts w:asciiTheme="minorHAnsi" w:hAnsiTheme="minorHAnsi"/>
          <w:b/>
          <w:strike/>
          <w:color w:val="785F55"/>
        </w:rPr>
        <w:t>14</w:t>
      </w:r>
      <w:r w:rsidR="00352278" w:rsidRPr="00C354E2">
        <w:rPr>
          <w:rFonts w:asciiTheme="minorHAnsi" w:hAnsiTheme="minorHAnsi"/>
          <w:b/>
          <w:strike/>
          <w:color w:val="197A9B"/>
        </w:rPr>
        <w:t xml:space="preserve"> </w:t>
      </w:r>
      <w:r w:rsidR="002352F7" w:rsidRPr="00C354E2">
        <w:rPr>
          <w:rFonts w:asciiTheme="minorHAnsi" w:hAnsiTheme="minorHAnsi"/>
          <w:b/>
          <w:strike/>
          <w:color w:val="76923C" w:themeColor="accent3" w:themeShade="BF"/>
        </w:rPr>
        <w:t>23</w:t>
      </w:r>
      <w:r w:rsidR="002352F7" w:rsidRPr="002352F7">
        <w:rPr>
          <w:rFonts w:asciiTheme="minorHAnsi" w:hAnsiTheme="minorHAnsi"/>
          <w:b/>
          <w:color w:val="76923C" w:themeColor="accent3" w:themeShade="BF"/>
        </w:rPr>
        <w:t xml:space="preserve">, </w:t>
      </w:r>
      <w:r w:rsidR="001856ED">
        <w:rPr>
          <w:rFonts w:asciiTheme="minorHAnsi" w:hAnsiTheme="minorHAnsi"/>
          <w:b/>
          <w:color w:val="76923C" w:themeColor="accent3" w:themeShade="BF"/>
        </w:rPr>
        <w:t xml:space="preserve">23 - </w:t>
      </w:r>
      <w:r w:rsidR="001856ED" w:rsidRPr="001856ED">
        <w:rPr>
          <w:rFonts w:asciiTheme="minorHAnsi" w:hAnsiTheme="minorHAnsi"/>
          <w:b/>
          <w:color w:val="DF0FC1"/>
        </w:rPr>
        <w:t>33</w:t>
      </w:r>
      <w:r w:rsidR="002352F7" w:rsidRPr="002352F7">
        <w:rPr>
          <w:rFonts w:asciiTheme="minorHAnsi" w:hAnsiTheme="minorHAnsi"/>
          <w:b/>
          <w:color w:val="76923C" w:themeColor="accent3" w:themeShade="BF"/>
        </w:rPr>
        <w:t xml:space="preserve"> </w:t>
      </w:r>
      <w:r w:rsidR="00352278">
        <w:rPr>
          <w:rFonts w:asciiTheme="minorHAnsi" w:hAnsiTheme="minorHAnsi"/>
          <w:b/>
          <w:color w:val="197A9B"/>
        </w:rPr>
        <w:t>– Various Appropriations</w:t>
      </w:r>
    </w:p>
    <w:p w:rsidR="00D07F56" w:rsidRPr="001763C4" w:rsidRDefault="00D07F56" w:rsidP="007F78FD">
      <w:pPr>
        <w:rPr>
          <w:rFonts w:asciiTheme="minorHAnsi" w:hAnsiTheme="minorHAnsi"/>
          <w:b/>
          <w:sz w:val="22"/>
          <w:szCs w:val="22"/>
        </w:rPr>
      </w:pPr>
    </w:p>
    <w:p w:rsidR="0029061E" w:rsidRDefault="00136FD9" w:rsidP="003E4811">
      <w:pPr>
        <w:rPr>
          <w:rFonts w:ascii="Palatino Linotype" w:hAnsi="Palatino Linotype"/>
          <w:sz w:val="20"/>
          <w:szCs w:val="20"/>
        </w:rPr>
      </w:pPr>
      <w:r w:rsidRPr="00464485">
        <w:rPr>
          <w:rFonts w:ascii="Palatino Linotype" w:hAnsi="Palatino Linotype"/>
          <w:sz w:val="20"/>
          <w:szCs w:val="20"/>
        </w:rPr>
        <w:t>The bill increases by $2 million the appropriation to boards of cooperative services to assist school districts in implementing and meeting the state's education priorities.</w:t>
      </w:r>
    </w:p>
    <w:p w:rsidR="00195971" w:rsidRDefault="00195971" w:rsidP="003E4811">
      <w:pPr>
        <w:rPr>
          <w:rFonts w:ascii="Palatino Linotype" w:hAnsi="Palatino Linotype"/>
          <w:sz w:val="20"/>
          <w:szCs w:val="20"/>
        </w:rPr>
      </w:pPr>
    </w:p>
    <w:p w:rsidR="00195971" w:rsidRDefault="00195971" w:rsidP="003E4811">
      <w:pPr>
        <w:rPr>
          <w:rFonts w:ascii="Palatino Linotype" w:hAnsi="Palatino Linotype"/>
          <w:sz w:val="20"/>
          <w:szCs w:val="20"/>
        </w:rPr>
      </w:pPr>
      <w:r>
        <w:rPr>
          <w:rFonts w:ascii="Palatino Linotype" w:hAnsi="Palatino Linotype"/>
          <w:sz w:val="20"/>
          <w:szCs w:val="20"/>
        </w:rPr>
        <w:t>Read Act funding is increased by $18,000,000 for a total of $34,000,000.</w:t>
      </w:r>
    </w:p>
    <w:p w:rsidR="00352278" w:rsidRDefault="00352278" w:rsidP="003E4811">
      <w:pPr>
        <w:rPr>
          <w:rFonts w:ascii="Palatino Linotype" w:hAnsi="Palatino Linotype"/>
          <w:sz w:val="20"/>
          <w:szCs w:val="20"/>
        </w:rPr>
      </w:pPr>
    </w:p>
    <w:p w:rsidR="00352278" w:rsidRDefault="00352278" w:rsidP="003E4811">
      <w:pPr>
        <w:rPr>
          <w:rFonts w:ascii="Palatino Linotype" w:hAnsi="Palatino Linotype"/>
          <w:color w:val="197A9B"/>
          <w:sz w:val="20"/>
          <w:szCs w:val="20"/>
        </w:rPr>
      </w:pPr>
      <w:r>
        <w:rPr>
          <w:rFonts w:ascii="Palatino Linotype" w:hAnsi="Palatino Linotype"/>
          <w:color w:val="197A9B"/>
          <w:sz w:val="20"/>
          <w:szCs w:val="20"/>
        </w:rPr>
        <w:lastRenderedPageBreak/>
        <w:t>Various other appropriations</w:t>
      </w:r>
      <w:r w:rsidR="00F95D59">
        <w:rPr>
          <w:rFonts w:ascii="Palatino Linotype" w:hAnsi="Palatino Linotype"/>
          <w:color w:val="197A9B"/>
          <w:sz w:val="20"/>
          <w:szCs w:val="20"/>
        </w:rPr>
        <w:t xml:space="preserve"> are included in these sections to meet the cost increases </w:t>
      </w:r>
      <w:proofErr w:type="gramStart"/>
      <w:r w:rsidR="00F95D59">
        <w:rPr>
          <w:rFonts w:ascii="Palatino Linotype" w:hAnsi="Palatino Linotype"/>
          <w:color w:val="197A9B"/>
          <w:sz w:val="20"/>
          <w:szCs w:val="20"/>
        </w:rPr>
        <w:t>above</w:t>
      </w:r>
      <w:r w:rsidR="00195971">
        <w:rPr>
          <w:rFonts w:ascii="Palatino Linotype" w:hAnsi="Palatino Linotype"/>
          <w:color w:val="197A9B"/>
          <w:sz w:val="20"/>
          <w:szCs w:val="20"/>
        </w:rPr>
        <w:t xml:space="preserve"> </w:t>
      </w:r>
      <w:r w:rsidR="00F95D59">
        <w:rPr>
          <w:rFonts w:ascii="Palatino Linotype" w:hAnsi="Palatino Linotype"/>
          <w:color w:val="197A9B"/>
          <w:sz w:val="20"/>
          <w:szCs w:val="20"/>
        </w:rPr>
        <w:t>.</w:t>
      </w:r>
      <w:proofErr w:type="gramEnd"/>
    </w:p>
    <w:p w:rsidR="00F95D59" w:rsidRDefault="00F95D59" w:rsidP="003E4811">
      <w:pPr>
        <w:rPr>
          <w:rFonts w:ascii="Palatino Linotype" w:hAnsi="Palatino Linotype"/>
          <w:color w:val="197A9B"/>
          <w:sz w:val="20"/>
          <w:szCs w:val="20"/>
        </w:rPr>
      </w:pPr>
    </w:p>
    <w:p w:rsidR="00F95D59" w:rsidRPr="00F95D59" w:rsidRDefault="00F95D59" w:rsidP="003E4811">
      <w:pPr>
        <w:rPr>
          <w:rFonts w:ascii="Palatino Linotype" w:hAnsi="Palatino Linotype"/>
          <w:b/>
          <w:color w:val="785F55"/>
          <w:sz w:val="20"/>
          <w:szCs w:val="20"/>
        </w:rPr>
      </w:pPr>
      <w:proofErr w:type="gramStart"/>
      <w:r w:rsidRPr="00F95D59">
        <w:rPr>
          <w:rFonts w:ascii="Palatino Linotype" w:hAnsi="Palatino Linotype"/>
          <w:b/>
          <w:color w:val="785F55"/>
          <w:sz w:val="20"/>
          <w:szCs w:val="20"/>
        </w:rPr>
        <w:t>Makes a technical adjustment to when SB14-112 is applicable – BEST cash grant award appropriations.</w:t>
      </w:r>
      <w:proofErr w:type="gramEnd"/>
    </w:p>
    <w:p w:rsidR="00136FD9" w:rsidRDefault="00136FD9" w:rsidP="0029061E">
      <w:pPr>
        <w:rPr>
          <w:rFonts w:asciiTheme="minorHAnsi" w:hAnsiTheme="minorHAnsi"/>
          <w:b/>
          <w:color w:val="000000"/>
          <w:sz w:val="22"/>
          <w:szCs w:val="22"/>
        </w:rPr>
      </w:pPr>
    </w:p>
    <w:sectPr w:rsidR="00136FD9" w:rsidSect="00C354E2">
      <w:footerReference w:type="default" r:id="rId10"/>
      <w:pgSz w:w="12240" w:h="15840"/>
      <w:pgMar w:top="630" w:right="1710" w:bottom="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7E" w:rsidRDefault="0087047E" w:rsidP="00CB4078">
      <w:r>
        <w:separator/>
      </w:r>
    </w:p>
  </w:endnote>
  <w:endnote w:type="continuationSeparator" w:id="0">
    <w:p w:rsidR="0087047E" w:rsidRDefault="0087047E" w:rsidP="00CB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86" w:rsidRDefault="00DB2600">
    <w:pPr>
      <w:pStyle w:val="Footer"/>
      <w:rPr>
        <w:rFonts w:asciiTheme="minorHAnsi" w:hAnsiTheme="minorHAnsi"/>
        <w:sz w:val="22"/>
        <w:szCs w:val="22"/>
      </w:rPr>
    </w:pPr>
    <w:r>
      <w:rPr>
        <w:rFonts w:asciiTheme="minorHAnsi" w:hAnsiTheme="minorHAnsi"/>
        <w:sz w:val="22"/>
        <w:szCs w:val="22"/>
      </w:rPr>
      <w:t>5/21/14</w:t>
    </w:r>
  </w:p>
  <w:p w:rsidR="00DB2600" w:rsidRDefault="00DB2600">
    <w:pPr>
      <w:pStyle w:val="Footer"/>
      <w:rPr>
        <w:rFonts w:asciiTheme="minorHAnsi" w:hAnsiTheme="minorHAnsi"/>
        <w:sz w:val="22"/>
        <w:szCs w:val="22"/>
      </w:rPr>
    </w:pPr>
  </w:p>
  <w:p w:rsidR="00536B69" w:rsidRPr="00860AA0" w:rsidRDefault="00536B69">
    <w:pPr>
      <w:pStyle w:val="Footer"/>
      <w:rPr>
        <w:rFonts w:asciiTheme="minorHAnsi" w:hAnsiTheme="minorHAnsi"/>
        <w:sz w:val="22"/>
        <w:szCs w:val="22"/>
      </w:rPr>
    </w:pPr>
  </w:p>
  <w:p w:rsidR="0087047E" w:rsidRDefault="00870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7E" w:rsidRDefault="0087047E" w:rsidP="00CB4078">
      <w:r>
        <w:separator/>
      </w:r>
    </w:p>
  </w:footnote>
  <w:footnote w:type="continuationSeparator" w:id="0">
    <w:p w:rsidR="0087047E" w:rsidRDefault="0087047E" w:rsidP="00CB4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31A"/>
    <w:multiLevelType w:val="hybridMultilevel"/>
    <w:tmpl w:val="EF868816"/>
    <w:lvl w:ilvl="0" w:tplc="95F8C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03C7B"/>
    <w:multiLevelType w:val="hybridMultilevel"/>
    <w:tmpl w:val="725A8798"/>
    <w:lvl w:ilvl="0" w:tplc="E66E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C09BF"/>
    <w:multiLevelType w:val="hybridMultilevel"/>
    <w:tmpl w:val="065A0F3E"/>
    <w:lvl w:ilvl="0" w:tplc="BDDAE962">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60C3"/>
    <w:multiLevelType w:val="hybridMultilevel"/>
    <w:tmpl w:val="88580F2C"/>
    <w:lvl w:ilvl="0" w:tplc="8012A9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D91645"/>
    <w:multiLevelType w:val="hybridMultilevel"/>
    <w:tmpl w:val="C27461CC"/>
    <w:lvl w:ilvl="0" w:tplc="E66E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A130C"/>
    <w:multiLevelType w:val="hybridMultilevel"/>
    <w:tmpl w:val="781A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60A96"/>
    <w:multiLevelType w:val="hybridMultilevel"/>
    <w:tmpl w:val="8CE4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C1748"/>
    <w:multiLevelType w:val="hybridMultilevel"/>
    <w:tmpl w:val="CEA2C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171727"/>
    <w:multiLevelType w:val="hybridMultilevel"/>
    <w:tmpl w:val="AE44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651F8E"/>
    <w:multiLevelType w:val="hybridMultilevel"/>
    <w:tmpl w:val="9768F7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D2B3855"/>
    <w:multiLevelType w:val="hybridMultilevel"/>
    <w:tmpl w:val="B36E132C"/>
    <w:lvl w:ilvl="0" w:tplc="04090001">
      <w:start w:val="1"/>
      <w:numFmt w:val="bullet"/>
      <w:lvlText w:val=""/>
      <w:lvlJc w:val="left"/>
      <w:pPr>
        <w:tabs>
          <w:tab w:val="num" w:pos="1503"/>
        </w:tabs>
        <w:ind w:left="1503" w:hanging="360"/>
      </w:pPr>
      <w:rPr>
        <w:rFonts w:ascii="Symbol" w:hAnsi="Symbol" w:hint="default"/>
      </w:rPr>
    </w:lvl>
    <w:lvl w:ilvl="1" w:tplc="04090003" w:tentative="1">
      <w:start w:val="1"/>
      <w:numFmt w:val="bullet"/>
      <w:lvlText w:val="o"/>
      <w:lvlJc w:val="left"/>
      <w:pPr>
        <w:tabs>
          <w:tab w:val="num" w:pos="2223"/>
        </w:tabs>
        <w:ind w:left="2223" w:hanging="360"/>
      </w:pPr>
      <w:rPr>
        <w:rFonts w:ascii="Courier New" w:hAnsi="Courier New" w:cs="Courier New" w:hint="default"/>
      </w:rPr>
    </w:lvl>
    <w:lvl w:ilvl="2" w:tplc="04090005" w:tentative="1">
      <w:start w:val="1"/>
      <w:numFmt w:val="bullet"/>
      <w:lvlText w:val=""/>
      <w:lvlJc w:val="left"/>
      <w:pPr>
        <w:tabs>
          <w:tab w:val="num" w:pos="2943"/>
        </w:tabs>
        <w:ind w:left="2943" w:hanging="360"/>
      </w:pPr>
      <w:rPr>
        <w:rFonts w:ascii="Wingdings" w:hAnsi="Wingdings" w:hint="default"/>
      </w:rPr>
    </w:lvl>
    <w:lvl w:ilvl="3" w:tplc="04090001" w:tentative="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cs="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cs="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11">
    <w:nsid w:val="5CD76145"/>
    <w:multiLevelType w:val="hybridMultilevel"/>
    <w:tmpl w:val="70AC14E8"/>
    <w:lvl w:ilvl="0" w:tplc="E66E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0858"/>
    <w:multiLevelType w:val="hybridMultilevel"/>
    <w:tmpl w:val="EB4A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81531D8"/>
    <w:multiLevelType w:val="hybridMultilevel"/>
    <w:tmpl w:val="29B20160"/>
    <w:lvl w:ilvl="0" w:tplc="C018C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D1BF8"/>
    <w:multiLevelType w:val="hybridMultilevel"/>
    <w:tmpl w:val="508C8A66"/>
    <w:lvl w:ilvl="0" w:tplc="E66E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60C72"/>
    <w:multiLevelType w:val="hybridMultilevel"/>
    <w:tmpl w:val="21DEA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467602"/>
    <w:multiLevelType w:val="hybridMultilevel"/>
    <w:tmpl w:val="F51CF056"/>
    <w:lvl w:ilvl="0" w:tplc="8D347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7"/>
  </w:num>
  <w:num w:numId="5">
    <w:abstractNumId w:val="3"/>
  </w:num>
  <w:num w:numId="6">
    <w:abstractNumId w:val="8"/>
  </w:num>
  <w:num w:numId="7">
    <w:abstractNumId w:val="16"/>
  </w:num>
  <w:num w:numId="8">
    <w:abstractNumId w:val="13"/>
  </w:num>
  <w:num w:numId="9">
    <w:abstractNumId w:val="0"/>
  </w:num>
  <w:num w:numId="10">
    <w:abstractNumId w:val="2"/>
  </w:num>
  <w:num w:numId="11">
    <w:abstractNumId w:val="14"/>
  </w:num>
  <w:num w:numId="12">
    <w:abstractNumId w:val="11"/>
  </w:num>
  <w:num w:numId="13">
    <w:abstractNumId w:val="4"/>
  </w:num>
  <w:num w:numId="14">
    <w:abstractNumId w:val="1"/>
  </w:num>
  <w:num w:numId="15">
    <w:abstractNumId w:val="5"/>
  </w:num>
  <w:num w:numId="16">
    <w:abstractNumId w:val="6"/>
  </w:num>
  <w:num w:numId="1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FD"/>
    <w:rsid w:val="00017386"/>
    <w:rsid w:val="000228E2"/>
    <w:rsid w:val="00037600"/>
    <w:rsid w:val="000416FF"/>
    <w:rsid w:val="00053B9B"/>
    <w:rsid w:val="00073EE9"/>
    <w:rsid w:val="000760D5"/>
    <w:rsid w:val="0007676C"/>
    <w:rsid w:val="00085E2D"/>
    <w:rsid w:val="000869D6"/>
    <w:rsid w:val="000962B2"/>
    <w:rsid w:val="000A5481"/>
    <w:rsid w:val="000B2F19"/>
    <w:rsid w:val="000D73EE"/>
    <w:rsid w:val="000F2734"/>
    <w:rsid w:val="00125BEF"/>
    <w:rsid w:val="00136FD9"/>
    <w:rsid w:val="001419E7"/>
    <w:rsid w:val="0014463A"/>
    <w:rsid w:val="00151A83"/>
    <w:rsid w:val="00166993"/>
    <w:rsid w:val="001750BD"/>
    <w:rsid w:val="001763C4"/>
    <w:rsid w:val="001807BE"/>
    <w:rsid w:val="001856ED"/>
    <w:rsid w:val="00195971"/>
    <w:rsid w:val="001A2090"/>
    <w:rsid w:val="001A258D"/>
    <w:rsid w:val="001B2DED"/>
    <w:rsid w:val="001B6585"/>
    <w:rsid w:val="001C3105"/>
    <w:rsid w:val="001C6C63"/>
    <w:rsid w:val="001E0571"/>
    <w:rsid w:val="001E5EAB"/>
    <w:rsid w:val="001F29A7"/>
    <w:rsid w:val="001F2EE5"/>
    <w:rsid w:val="001F462D"/>
    <w:rsid w:val="001F5822"/>
    <w:rsid w:val="001F59D9"/>
    <w:rsid w:val="001F5DBF"/>
    <w:rsid w:val="001F6B60"/>
    <w:rsid w:val="0020315F"/>
    <w:rsid w:val="0020462E"/>
    <w:rsid w:val="00216D84"/>
    <w:rsid w:val="00222B4A"/>
    <w:rsid w:val="002352F7"/>
    <w:rsid w:val="0024571B"/>
    <w:rsid w:val="00247C1D"/>
    <w:rsid w:val="00251326"/>
    <w:rsid w:val="00251676"/>
    <w:rsid w:val="002573EC"/>
    <w:rsid w:val="002816E8"/>
    <w:rsid w:val="00281838"/>
    <w:rsid w:val="00286487"/>
    <w:rsid w:val="0029061E"/>
    <w:rsid w:val="0029794E"/>
    <w:rsid w:val="002C4001"/>
    <w:rsid w:val="002C64A5"/>
    <w:rsid w:val="002C7AB5"/>
    <w:rsid w:val="00305481"/>
    <w:rsid w:val="00311E61"/>
    <w:rsid w:val="00314AC0"/>
    <w:rsid w:val="00314D9C"/>
    <w:rsid w:val="003241FA"/>
    <w:rsid w:val="00324DEC"/>
    <w:rsid w:val="00347967"/>
    <w:rsid w:val="00352278"/>
    <w:rsid w:val="0035318E"/>
    <w:rsid w:val="00354577"/>
    <w:rsid w:val="003727C5"/>
    <w:rsid w:val="0038164F"/>
    <w:rsid w:val="00390ABA"/>
    <w:rsid w:val="003A2D3E"/>
    <w:rsid w:val="003A4872"/>
    <w:rsid w:val="003D4BCE"/>
    <w:rsid w:val="003E4811"/>
    <w:rsid w:val="003F1099"/>
    <w:rsid w:val="004035F4"/>
    <w:rsid w:val="00430153"/>
    <w:rsid w:val="00440372"/>
    <w:rsid w:val="00464485"/>
    <w:rsid w:val="004739CE"/>
    <w:rsid w:val="00497959"/>
    <w:rsid w:val="004A3C3D"/>
    <w:rsid w:val="004B1002"/>
    <w:rsid w:val="004B5ED2"/>
    <w:rsid w:val="004C09EC"/>
    <w:rsid w:val="004F76B2"/>
    <w:rsid w:val="00500FA9"/>
    <w:rsid w:val="00501E08"/>
    <w:rsid w:val="005069E2"/>
    <w:rsid w:val="005073FC"/>
    <w:rsid w:val="00526A31"/>
    <w:rsid w:val="00527B57"/>
    <w:rsid w:val="00535D20"/>
    <w:rsid w:val="00536650"/>
    <w:rsid w:val="00536B69"/>
    <w:rsid w:val="00554EEB"/>
    <w:rsid w:val="00576224"/>
    <w:rsid w:val="00577B00"/>
    <w:rsid w:val="00586625"/>
    <w:rsid w:val="005B2469"/>
    <w:rsid w:val="005C54FF"/>
    <w:rsid w:val="005D5266"/>
    <w:rsid w:val="005E2C3E"/>
    <w:rsid w:val="005F23F4"/>
    <w:rsid w:val="005F278B"/>
    <w:rsid w:val="006016EA"/>
    <w:rsid w:val="00624EB8"/>
    <w:rsid w:val="0064392F"/>
    <w:rsid w:val="0064656C"/>
    <w:rsid w:val="006556E6"/>
    <w:rsid w:val="00656F39"/>
    <w:rsid w:val="006574D6"/>
    <w:rsid w:val="006628E7"/>
    <w:rsid w:val="0066597D"/>
    <w:rsid w:val="0068092B"/>
    <w:rsid w:val="006915FC"/>
    <w:rsid w:val="0069349A"/>
    <w:rsid w:val="006950CD"/>
    <w:rsid w:val="006C51ED"/>
    <w:rsid w:val="006F4C7A"/>
    <w:rsid w:val="0071609A"/>
    <w:rsid w:val="00735E1A"/>
    <w:rsid w:val="00745E5B"/>
    <w:rsid w:val="0076239D"/>
    <w:rsid w:val="00766505"/>
    <w:rsid w:val="007764D2"/>
    <w:rsid w:val="0078499C"/>
    <w:rsid w:val="0079409A"/>
    <w:rsid w:val="007B47ED"/>
    <w:rsid w:val="007B4F65"/>
    <w:rsid w:val="007C3275"/>
    <w:rsid w:val="007D7AAC"/>
    <w:rsid w:val="007F78FD"/>
    <w:rsid w:val="008113FE"/>
    <w:rsid w:val="00814559"/>
    <w:rsid w:val="00820A8B"/>
    <w:rsid w:val="0082365F"/>
    <w:rsid w:val="00860AA0"/>
    <w:rsid w:val="00866C95"/>
    <w:rsid w:val="0087047E"/>
    <w:rsid w:val="008A219A"/>
    <w:rsid w:val="008A6286"/>
    <w:rsid w:val="008D00F3"/>
    <w:rsid w:val="008D3BE4"/>
    <w:rsid w:val="008F0AD4"/>
    <w:rsid w:val="00944C67"/>
    <w:rsid w:val="009601C8"/>
    <w:rsid w:val="00977724"/>
    <w:rsid w:val="009C1206"/>
    <w:rsid w:val="009C3C13"/>
    <w:rsid w:val="009D72E0"/>
    <w:rsid w:val="009E3F63"/>
    <w:rsid w:val="009F497E"/>
    <w:rsid w:val="009F5358"/>
    <w:rsid w:val="00A02C05"/>
    <w:rsid w:val="00A11418"/>
    <w:rsid w:val="00A16198"/>
    <w:rsid w:val="00A21FE9"/>
    <w:rsid w:val="00A236D8"/>
    <w:rsid w:val="00A24D46"/>
    <w:rsid w:val="00A400F1"/>
    <w:rsid w:val="00A61064"/>
    <w:rsid w:val="00A61D9E"/>
    <w:rsid w:val="00A64F54"/>
    <w:rsid w:val="00A74C31"/>
    <w:rsid w:val="00A8730A"/>
    <w:rsid w:val="00A93E52"/>
    <w:rsid w:val="00AB7208"/>
    <w:rsid w:val="00AC64DE"/>
    <w:rsid w:val="00AD1110"/>
    <w:rsid w:val="00AD58C4"/>
    <w:rsid w:val="00AD5DC2"/>
    <w:rsid w:val="00AE1AA6"/>
    <w:rsid w:val="00AE2D51"/>
    <w:rsid w:val="00AE7DF5"/>
    <w:rsid w:val="00AF35F9"/>
    <w:rsid w:val="00AF43D6"/>
    <w:rsid w:val="00B059D0"/>
    <w:rsid w:val="00B11B77"/>
    <w:rsid w:val="00B15CF7"/>
    <w:rsid w:val="00B27304"/>
    <w:rsid w:val="00B32E3D"/>
    <w:rsid w:val="00B33FF7"/>
    <w:rsid w:val="00B35AEF"/>
    <w:rsid w:val="00B41D8E"/>
    <w:rsid w:val="00B6328B"/>
    <w:rsid w:val="00B6416B"/>
    <w:rsid w:val="00B72CF8"/>
    <w:rsid w:val="00B845FF"/>
    <w:rsid w:val="00B94681"/>
    <w:rsid w:val="00BA7398"/>
    <w:rsid w:val="00BB608A"/>
    <w:rsid w:val="00BE2E3C"/>
    <w:rsid w:val="00C00114"/>
    <w:rsid w:val="00C036B6"/>
    <w:rsid w:val="00C21B52"/>
    <w:rsid w:val="00C33F0A"/>
    <w:rsid w:val="00C354E2"/>
    <w:rsid w:val="00C61CDC"/>
    <w:rsid w:val="00C814D1"/>
    <w:rsid w:val="00C861EC"/>
    <w:rsid w:val="00CA7474"/>
    <w:rsid w:val="00CB4078"/>
    <w:rsid w:val="00CC32D5"/>
    <w:rsid w:val="00CC44D8"/>
    <w:rsid w:val="00CD0719"/>
    <w:rsid w:val="00CD29EC"/>
    <w:rsid w:val="00CE128D"/>
    <w:rsid w:val="00CE184D"/>
    <w:rsid w:val="00CE2178"/>
    <w:rsid w:val="00CF3130"/>
    <w:rsid w:val="00D0208F"/>
    <w:rsid w:val="00D03580"/>
    <w:rsid w:val="00D03C48"/>
    <w:rsid w:val="00D03F91"/>
    <w:rsid w:val="00D07F56"/>
    <w:rsid w:val="00D16428"/>
    <w:rsid w:val="00D229E4"/>
    <w:rsid w:val="00D23E30"/>
    <w:rsid w:val="00D37B24"/>
    <w:rsid w:val="00D42548"/>
    <w:rsid w:val="00D44BA7"/>
    <w:rsid w:val="00D556FF"/>
    <w:rsid w:val="00D937E4"/>
    <w:rsid w:val="00DB2600"/>
    <w:rsid w:val="00DB6186"/>
    <w:rsid w:val="00DF69E8"/>
    <w:rsid w:val="00E32934"/>
    <w:rsid w:val="00E408D6"/>
    <w:rsid w:val="00E41B75"/>
    <w:rsid w:val="00E42049"/>
    <w:rsid w:val="00E46FCD"/>
    <w:rsid w:val="00E518CC"/>
    <w:rsid w:val="00E641AE"/>
    <w:rsid w:val="00E66211"/>
    <w:rsid w:val="00E7489F"/>
    <w:rsid w:val="00E76818"/>
    <w:rsid w:val="00EA2944"/>
    <w:rsid w:val="00EB71CC"/>
    <w:rsid w:val="00EC7D4B"/>
    <w:rsid w:val="00ED4E72"/>
    <w:rsid w:val="00EF3759"/>
    <w:rsid w:val="00F13B36"/>
    <w:rsid w:val="00F15DEA"/>
    <w:rsid w:val="00F1638B"/>
    <w:rsid w:val="00F551BD"/>
    <w:rsid w:val="00F7041D"/>
    <w:rsid w:val="00F779C8"/>
    <w:rsid w:val="00F95D59"/>
    <w:rsid w:val="00FA1C52"/>
    <w:rsid w:val="00FD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8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2944"/>
    <w:rPr>
      <w:rFonts w:ascii="Tahoma" w:hAnsi="Tahoma" w:cs="Tahoma"/>
      <w:sz w:val="16"/>
      <w:szCs w:val="16"/>
    </w:rPr>
  </w:style>
  <w:style w:type="paragraph" w:styleId="Header">
    <w:name w:val="header"/>
    <w:basedOn w:val="Normal"/>
    <w:link w:val="HeaderChar"/>
    <w:rsid w:val="00CB4078"/>
    <w:pPr>
      <w:tabs>
        <w:tab w:val="center" w:pos="4680"/>
        <w:tab w:val="right" w:pos="9360"/>
      </w:tabs>
    </w:pPr>
  </w:style>
  <w:style w:type="character" w:customStyle="1" w:styleId="HeaderChar">
    <w:name w:val="Header Char"/>
    <w:basedOn w:val="DefaultParagraphFont"/>
    <w:link w:val="Header"/>
    <w:rsid w:val="00CB4078"/>
    <w:rPr>
      <w:sz w:val="24"/>
      <w:szCs w:val="24"/>
    </w:rPr>
  </w:style>
  <w:style w:type="paragraph" w:styleId="Footer">
    <w:name w:val="footer"/>
    <w:basedOn w:val="Normal"/>
    <w:link w:val="FooterChar"/>
    <w:uiPriority w:val="99"/>
    <w:rsid w:val="00CB4078"/>
    <w:pPr>
      <w:tabs>
        <w:tab w:val="center" w:pos="4680"/>
        <w:tab w:val="right" w:pos="9360"/>
      </w:tabs>
    </w:pPr>
  </w:style>
  <w:style w:type="character" w:customStyle="1" w:styleId="FooterChar">
    <w:name w:val="Footer Char"/>
    <w:basedOn w:val="DefaultParagraphFont"/>
    <w:link w:val="Footer"/>
    <w:uiPriority w:val="99"/>
    <w:rsid w:val="00CB4078"/>
    <w:rPr>
      <w:sz w:val="24"/>
      <w:szCs w:val="24"/>
    </w:rPr>
  </w:style>
  <w:style w:type="table" w:styleId="TableGrid">
    <w:name w:val="Table Grid"/>
    <w:basedOn w:val="TableNormal"/>
    <w:rsid w:val="000A5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08F"/>
    <w:pPr>
      <w:ind w:left="720"/>
      <w:contextualSpacing/>
    </w:pPr>
  </w:style>
  <w:style w:type="character" w:styleId="Hyperlink">
    <w:name w:val="Hyperlink"/>
    <w:basedOn w:val="DefaultParagraphFont"/>
    <w:rsid w:val="00527B57"/>
    <w:rPr>
      <w:color w:val="0000FF" w:themeColor="hyperlink"/>
      <w:u w:val="single"/>
    </w:rPr>
  </w:style>
  <w:style w:type="character" w:styleId="FollowedHyperlink">
    <w:name w:val="FollowedHyperlink"/>
    <w:basedOn w:val="DefaultParagraphFont"/>
    <w:rsid w:val="005366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8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2944"/>
    <w:rPr>
      <w:rFonts w:ascii="Tahoma" w:hAnsi="Tahoma" w:cs="Tahoma"/>
      <w:sz w:val="16"/>
      <w:szCs w:val="16"/>
    </w:rPr>
  </w:style>
  <w:style w:type="paragraph" w:styleId="Header">
    <w:name w:val="header"/>
    <w:basedOn w:val="Normal"/>
    <w:link w:val="HeaderChar"/>
    <w:rsid w:val="00CB4078"/>
    <w:pPr>
      <w:tabs>
        <w:tab w:val="center" w:pos="4680"/>
        <w:tab w:val="right" w:pos="9360"/>
      </w:tabs>
    </w:pPr>
  </w:style>
  <w:style w:type="character" w:customStyle="1" w:styleId="HeaderChar">
    <w:name w:val="Header Char"/>
    <w:basedOn w:val="DefaultParagraphFont"/>
    <w:link w:val="Header"/>
    <w:rsid w:val="00CB4078"/>
    <w:rPr>
      <w:sz w:val="24"/>
      <w:szCs w:val="24"/>
    </w:rPr>
  </w:style>
  <w:style w:type="paragraph" w:styleId="Footer">
    <w:name w:val="footer"/>
    <w:basedOn w:val="Normal"/>
    <w:link w:val="FooterChar"/>
    <w:uiPriority w:val="99"/>
    <w:rsid w:val="00CB4078"/>
    <w:pPr>
      <w:tabs>
        <w:tab w:val="center" w:pos="4680"/>
        <w:tab w:val="right" w:pos="9360"/>
      </w:tabs>
    </w:pPr>
  </w:style>
  <w:style w:type="character" w:customStyle="1" w:styleId="FooterChar">
    <w:name w:val="Footer Char"/>
    <w:basedOn w:val="DefaultParagraphFont"/>
    <w:link w:val="Footer"/>
    <w:uiPriority w:val="99"/>
    <w:rsid w:val="00CB4078"/>
    <w:rPr>
      <w:sz w:val="24"/>
      <w:szCs w:val="24"/>
    </w:rPr>
  </w:style>
  <w:style w:type="table" w:styleId="TableGrid">
    <w:name w:val="Table Grid"/>
    <w:basedOn w:val="TableNormal"/>
    <w:rsid w:val="000A5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08F"/>
    <w:pPr>
      <w:ind w:left="720"/>
      <w:contextualSpacing/>
    </w:pPr>
  </w:style>
  <w:style w:type="character" w:styleId="Hyperlink">
    <w:name w:val="Hyperlink"/>
    <w:basedOn w:val="DefaultParagraphFont"/>
    <w:rsid w:val="00527B57"/>
    <w:rPr>
      <w:color w:val="0000FF" w:themeColor="hyperlink"/>
      <w:u w:val="single"/>
    </w:rPr>
  </w:style>
  <w:style w:type="character" w:styleId="FollowedHyperlink">
    <w:name w:val="FollowedHyperlink"/>
    <w:basedOn w:val="DefaultParagraphFont"/>
    <w:rsid w:val="005366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90338">
      <w:bodyDiv w:val="1"/>
      <w:marLeft w:val="0"/>
      <w:marRight w:val="0"/>
      <w:marTop w:val="0"/>
      <w:marBottom w:val="0"/>
      <w:divBdr>
        <w:top w:val="none" w:sz="0" w:space="0" w:color="auto"/>
        <w:left w:val="none" w:sz="0" w:space="0" w:color="auto"/>
        <w:bottom w:val="none" w:sz="0" w:space="0" w:color="auto"/>
        <w:right w:val="none" w:sz="0" w:space="0" w:color="auto"/>
      </w:divBdr>
    </w:div>
    <w:div w:id="11083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state.co.us/clics/clics2014a/csl.nsf/fsbillcont3/6F0F76647E5FEDED87257C360075F28F?Open&amp;file=HB1298_r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1060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Colorado Department of Education</vt:lpstr>
    </vt:vector>
  </TitlesOfParts>
  <Company>CDE</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Education</dc:title>
  <dc:creator>weaver_a</dc:creator>
  <cp:lastModifiedBy>Emm, Leanne</cp:lastModifiedBy>
  <cp:revision>3</cp:revision>
  <cp:lastPrinted>2014-04-09T15:31:00Z</cp:lastPrinted>
  <dcterms:created xsi:type="dcterms:W3CDTF">2014-05-21T20:31:00Z</dcterms:created>
  <dcterms:modified xsi:type="dcterms:W3CDTF">2014-05-21T21:47:00Z</dcterms:modified>
</cp:coreProperties>
</file>