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274D" w14:textId="77777777" w:rsidR="003575C1" w:rsidRDefault="003575C1" w:rsidP="003575C1">
      <w:pPr>
        <w:pStyle w:val="Heading1"/>
      </w:pPr>
      <w:bookmarkStart w:id="0" w:name="_2012-13_Grant_Calendar"/>
      <w:bookmarkStart w:id="1" w:name="_Duration_of_Grants"/>
      <w:bookmarkStart w:id="2" w:name="_Technical_Assistance_Information"/>
      <w:bookmarkStart w:id="3" w:name="_Budget_Instructions"/>
      <w:bookmarkStart w:id="4" w:name="_General_Guidelines_and"/>
      <w:bookmarkStart w:id="5" w:name="_Part_Ia:_Cover"/>
      <w:bookmarkStart w:id="6" w:name="_Ib:_Certification_and"/>
      <w:bookmarkStart w:id="7" w:name="_Part_Ib:_Certification"/>
      <w:bookmarkStart w:id="8" w:name="_Evaluation_Rubric"/>
      <w:bookmarkStart w:id="9" w:name="_Part_I:_"/>
      <w:bookmarkStart w:id="10" w:name="Technical"/>
      <w:bookmarkStart w:id="11" w:name="Participation"/>
      <w:bookmarkStart w:id="12" w:name="_Colorado_Charter_Schools"/>
      <w:bookmarkStart w:id="13" w:name="Budget"/>
      <w:bookmarkStart w:id="14" w:name="_CCSP_Grant_Budget"/>
      <w:bookmarkStart w:id="15" w:name="_Hlk110293515"/>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CCSP Grant Budget Instructions</w:t>
      </w:r>
    </w:p>
    <w:p w14:paraId="19A7612F" w14:textId="77777777" w:rsidR="003575C1" w:rsidRPr="00774649" w:rsidRDefault="003575C1" w:rsidP="003575C1">
      <w:pPr>
        <w:rPr>
          <w:rFonts w:cstheme="minorHAnsi"/>
        </w:rPr>
      </w:pPr>
      <w:r w:rsidRPr="00774649">
        <w:rPr>
          <w:rFonts w:cstheme="minorHAnsi"/>
        </w:rPr>
        <w:t>The CCSP one-year grant budget, in Excel, is the document that will guide the charter school, authorizer, and CDE over the duration of the annual grant period. It is created to ensure:</w:t>
      </w:r>
    </w:p>
    <w:p w14:paraId="454801FF" w14:textId="77777777" w:rsidR="003575C1" w:rsidRPr="00774649" w:rsidRDefault="003575C1" w:rsidP="003575C1">
      <w:pPr>
        <w:pStyle w:val="ListParagraph"/>
        <w:numPr>
          <w:ilvl w:val="0"/>
          <w:numId w:val="104"/>
        </w:numPr>
        <w:spacing w:before="60"/>
        <w:contextualSpacing w:val="0"/>
        <w:rPr>
          <w:rFonts w:cstheme="minorHAnsi"/>
        </w:rPr>
      </w:pPr>
      <w:r w:rsidRPr="00774649">
        <w:rPr>
          <w:rFonts w:cstheme="minorHAnsi"/>
        </w:rPr>
        <w:t xml:space="preserve">Compliance with state and federal regulations, including but not limited to tracking expenditures as require by the </w:t>
      </w:r>
      <w:hyperlink r:id="rId8" w:history="1">
        <w:r w:rsidRPr="00774649">
          <w:rPr>
            <w:rStyle w:val="Hyperlink"/>
            <w:rFonts w:cstheme="minorHAnsi"/>
          </w:rPr>
          <w:t>CDE Chart of Accounts (COA),</w:t>
        </w:r>
      </w:hyperlink>
    </w:p>
    <w:p w14:paraId="76816DC6" w14:textId="77777777" w:rsidR="003575C1" w:rsidRPr="00774649" w:rsidRDefault="003575C1" w:rsidP="003575C1">
      <w:pPr>
        <w:pStyle w:val="ListParagraph"/>
        <w:numPr>
          <w:ilvl w:val="0"/>
          <w:numId w:val="104"/>
        </w:numPr>
        <w:spacing w:before="60"/>
        <w:contextualSpacing w:val="0"/>
        <w:rPr>
          <w:rFonts w:cstheme="minorHAnsi"/>
        </w:rPr>
      </w:pPr>
      <w:r w:rsidRPr="00774649">
        <w:rPr>
          <w:rFonts w:cstheme="minorHAnsi"/>
        </w:rPr>
        <w:t>Provide the planned expenditures for the entire grant period, and</w:t>
      </w:r>
    </w:p>
    <w:p w14:paraId="5E5D3279" w14:textId="77777777" w:rsidR="003575C1" w:rsidRPr="00774649" w:rsidRDefault="003575C1" w:rsidP="003575C1">
      <w:pPr>
        <w:pStyle w:val="ListParagraph"/>
        <w:numPr>
          <w:ilvl w:val="0"/>
          <w:numId w:val="104"/>
        </w:numPr>
        <w:spacing w:before="60"/>
        <w:contextualSpacing w:val="0"/>
        <w:rPr>
          <w:rFonts w:cstheme="minorHAnsi"/>
        </w:rPr>
      </w:pPr>
      <w:r w:rsidRPr="00774649">
        <w:rPr>
          <w:rFonts w:cstheme="minorHAnsi"/>
        </w:rPr>
        <w:t>Maintain the history of the budgeted and actual expenditures.</w:t>
      </w:r>
    </w:p>
    <w:p w14:paraId="38663B60" w14:textId="77777777" w:rsidR="003575C1" w:rsidRPr="00774649" w:rsidRDefault="003575C1" w:rsidP="003575C1">
      <w:pPr>
        <w:pStyle w:val="ListParagraph"/>
        <w:rPr>
          <w:rFonts w:cstheme="minorHAnsi"/>
        </w:rPr>
      </w:pPr>
    </w:p>
    <w:p w14:paraId="4500AF89" w14:textId="77777777" w:rsidR="003575C1" w:rsidRPr="00774649" w:rsidRDefault="003575C1" w:rsidP="003575C1">
      <w:pPr>
        <w:rPr>
          <w:rFonts w:cstheme="minorHAnsi"/>
        </w:rPr>
      </w:pPr>
      <w:r w:rsidRPr="00774649">
        <w:rPr>
          <w:rFonts w:cstheme="minorHAnsi"/>
        </w:rPr>
        <w:t>The Excel CCSP grant budget will become the worksheet that will be used on an annual basis to track expenditures to be reimbursed by the grant. A new budget document will be released on an annual basis.</w:t>
      </w:r>
    </w:p>
    <w:p w14:paraId="465AF68E" w14:textId="77777777" w:rsidR="003575C1" w:rsidRPr="00774649" w:rsidRDefault="003575C1" w:rsidP="003575C1">
      <w:pPr>
        <w:rPr>
          <w:rFonts w:cstheme="minorHAnsi"/>
        </w:rPr>
      </w:pPr>
    </w:p>
    <w:p w14:paraId="2AB192FC" w14:textId="77777777" w:rsidR="003575C1" w:rsidRPr="00774649" w:rsidRDefault="003575C1" w:rsidP="003575C1">
      <w:pPr>
        <w:jc w:val="both"/>
        <w:rPr>
          <w:rFonts w:cstheme="minorHAnsi"/>
        </w:rPr>
      </w:pPr>
      <w:r w:rsidRPr="00774649">
        <w:rPr>
          <w:rFonts w:cstheme="minorHAnsi"/>
        </w:rPr>
        <w:t>The proposed budget and the budget narrative should support the grant project goals identified in part II, section B of the application. There should be evidence of a clear relationship between identified goals, proposed activities, and how funds will be spent. Applications should contain budget narratives for all</w:t>
      </w:r>
      <w:r w:rsidRPr="00774649">
        <w:rPr>
          <w:rFonts w:cstheme="minorHAnsi"/>
          <w:b/>
        </w:rPr>
        <w:t xml:space="preserve"> </w:t>
      </w:r>
      <w:r w:rsidRPr="00774649">
        <w:rPr>
          <w:rFonts w:cstheme="minorHAnsi"/>
        </w:rPr>
        <w:t xml:space="preserve">years of funding. The budget will be completed annually and must continue to align to the approved application on file with CDE. Please be advised that this is a reimbursement grant, and it is imperative that schools have available general funding for initial purchases. </w:t>
      </w:r>
    </w:p>
    <w:p w14:paraId="79608883" w14:textId="77777777" w:rsidR="003575C1" w:rsidRPr="00774649" w:rsidRDefault="003575C1" w:rsidP="003575C1">
      <w:pPr>
        <w:rPr>
          <w:rFonts w:cstheme="minorHAnsi"/>
        </w:rPr>
      </w:pPr>
    </w:p>
    <w:p w14:paraId="076207EC" w14:textId="77777777" w:rsidR="003575C1" w:rsidRPr="00774649" w:rsidRDefault="003575C1" w:rsidP="003575C1">
      <w:pPr>
        <w:jc w:val="both"/>
        <w:rPr>
          <w:rFonts w:cstheme="minorHAnsi"/>
        </w:rPr>
      </w:pPr>
      <w:r w:rsidRPr="00774649">
        <w:rPr>
          <w:rFonts w:cstheme="minorHAnsi"/>
        </w:rPr>
        <w:t xml:space="preserve">All schools are required to submit their proposed budget for the anticipated amount of funding for the first year of award on the CCSP Grant Budget and then updated once final award approval is reached. This process is repeated annually as sub-grantees transition into a new grant award year. Grant funds must be spent sequentially; first year funds must be drawn down before accessing second year funds, etc. The budget period for the Planning grant is </w:t>
      </w:r>
      <w:r w:rsidRPr="00774649">
        <w:rPr>
          <w:rFonts w:cstheme="minorHAnsi"/>
          <w:b/>
          <w:i/>
        </w:rPr>
        <w:t>upon final approval through the day just before classes begin</w:t>
      </w:r>
      <w:r w:rsidRPr="00774649">
        <w:rPr>
          <w:rFonts w:cstheme="minorHAnsi"/>
          <w:bCs/>
          <w:iCs/>
        </w:rPr>
        <w:t>.</w:t>
      </w:r>
      <w:r w:rsidRPr="00774649">
        <w:rPr>
          <w:rFonts w:cstheme="minorHAnsi"/>
        </w:rPr>
        <w:t xml:space="preserve"> The budget period for CCSP Implementation grant is from</w:t>
      </w:r>
      <w:r w:rsidRPr="00774649">
        <w:rPr>
          <w:rFonts w:cstheme="minorHAnsi"/>
          <w:b/>
          <w:i/>
        </w:rPr>
        <w:t xml:space="preserve"> final approval through June 30</w:t>
      </w:r>
      <w:r w:rsidRPr="00774649">
        <w:rPr>
          <w:rFonts w:cstheme="minorHAnsi"/>
        </w:rPr>
        <w:t>. Implementation grants awarded during the year of application will not go back to July 1</w:t>
      </w:r>
      <w:r w:rsidRPr="00774649">
        <w:rPr>
          <w:rFonts w:cstheme="minorHAnsi"/>
          <w:vertAlign w:val="superscript"/>
        </w:rPr>
        <w:t>st</w:t>
      </w:r>
      <w:r w:rsidRPr="00774649">
        <w:rPr>
          <w:rFonts w:cstheme="minorHAnsi"/>
        </w:rPr>
        <w:t xml:space="preserve"> of the first year. The proposed sub-grantee budget should reflect this timeframe.</w:t>
      </w:r>
    </w:p>
    <w:p w14:paraId="56D6A5CD" w14:textId="77777777" w:rsidR="003575C1" w:rsidRPr="00774649" w:rsidRDefault="003575C1" w:rsidP="003575C1">
      <w:pPr>
        <w:rPr>
          <w:rFonts w:cstheme="minorHAnsi"/>
        </w:rPr>
      </w:pPr>
    </w:p>
    <w:p w14:paraId="03A384BD" w14:textId="77777777" w:rsidR="003575C1" w:rsidRPr="00774649" w:rsidRDefault="003575C1" w:rsidP="003575C1">
      <w:pPr>
        <w:jc w:val="both"/>
        <w:rPr>
          <w:rFonts w:cstheme="minorHAnsi"/>
        </w:rPr>
      </w:pPr>
      <w:r w:rsidRPr="00774649">
        <w:rPr>
          <w:rFonts w:cstheme="minorHAnsi"/>
        </w:rPr>
        <w:t xml:space="preserve">When applications have been reviewed, final grant amounts will be determined based on funding structure detailed in Available Funds section and CCSP budget documents will be returned to the charter school and their authorizer with specific CDE comments that will require additional information of successful applicants. This original budget revision must comply with the application review comments and will serve as a basis for any future budget revisions. Any sub-grantee not properly submitting an original budget revision within 30 days of the date of the grant award letter may be subject to losing their grant award. </w:t>
      </w:r>
    </w:p>
    <w:p w14:paraId="33280347" w14:textId="77777777" w:rsidR="003575C1" w:rsidRPr="00774649" w:rsidRDefault="003575C1" w:rsidP="003575C1">
      <w:pPr>
        <w:rPr>
          <w:rFonts w:cstheme="minorHAnsi"/>
        </w:rPr>
      </w:pPr>
    </w:p>
    <w:p w14:paraId="2112929C" w14:textId="77777777" w:rsidR="003575C1" w:rsidRPr="00774649" w:rsidRDefault="003575C1" w:rsidP="003575C1">
      <w:pPr>
        <w:jc w:val="both"/>
        <w:rPr>
          <w:rFonts w:cstheme="minorHAnsi"/>
        </w:rPr>
      </w:pPr>
      <w:r w:rsidRPr="00774649">
        <w:rPr>
          <w:rFonts w:cstheme="minorHAnsi"/>
        </w:rPr>
        <w:t xml:space="preserve">Please consider test-printing the electronic budget before submitting to CDE to ensure reports are printable and legible on standard, letter-size paper, without any blank lines. Contact the designated CDE Grants Fiscal Management Analyst at </w:t>
      </w:r>
      <w:hyperlink r:id="rId9" w:history="1">
        <w:r w:rsidRPr="00774649">
          <w:rPr>
            <w:rStyle w:val="Hyperlink"/>
            <w:rFonts w:cstheme="minorHAnsi"/>
          </w:rPr>
          <w:t>CCSP_GFMU@cde.state.co.us</w:t>
        </w:r>
      </w:hyperlink>
      <w:r w:rsidRPr="00774649">
        <w:rPr>
          <w:rFonts w:cstheme="minorHAnsi"/>
        </w:rPr>
        <w:t xml:space="preserve"> with any issues.</w:t>
      </w:r>
    </w:p>
    <w:p w14:paraId="608F4003" w14:textId="77777777" w:rsidR="003575C1" w:rsidRPr="00774649" w:rsidRDefault="003575C1" w:rsidP="003575C1">
      <w:pPr>
        <w:rPr>
          <w:rFonts w:cstheme="minorHAnsi"/>
        </w:rPr>
      </w:pPr>
    </w:p>
    <w:p w14:paraId="7297AF05" w14:textId="77777777" w:rsidR="003575C1" w:rsidRPr="00774649" w:rsidRDefault="003575C1" w:rsidP="003575C1">
      <w:pPr>
        <w:pStyle w:val="Heading8"/>
        <w:spacing w:line="240" w:lineRule="auto"/>
        <w:contextualSpacing/>
        <w:rPr>
          <w:rFonts w:cstheme="minorHAnsi"/>
        </w:rPr>
      </w:pPr>
      <w:r w:rsidRPr="00774649">
        <w:rPr>
          <w:rFonts w:cstheme="minorHAnsi"/>
        </w:rPr>
        <w:t>General Guidelines and Restrictions</w:t>
      </w:r>
    </w:p>
    <w:p w14:paraId="40223D4A" w14:textId="77777777" w:rsidR="003575C1" w:rsidRPr="00774649" w:rsidRDefault="003575C1" w:rsidP="003575C1">
      <w:pPr>
        <w:jc w:val="both"/>
        <w:rPr>
          <w:rFonts w:cstheme="minorHAnsi"/>
        </w:rPr>
      </w:pPr>
      <w:r w:rsidRPr="00774649">
        <w:rPr>
          <w:rFonts w:cstheme="minorHAnsi"/>
        </w:rPr>
        <w:t>CCSP Grant Budget form instructions are found within the document itself. Each line item in the Excel budget should include the following in the respective columns: program/object category, grant project goal, budgeted amount (initial entry must be under original amount), and adequate budget item description/justification including cost per unit and an explanation of quantity (such as number of items or kits, number of students, grade level, classrooms or employees served, etc.).</w:t>
      </w:r>
    </w:p>
    <w:p w14:paraId="7C961E10" w14:textId="77777777" w:rsidR="003575C1" w:rsidRPr="00774649" w:rsidRDefault="003575C1" w:rsidP="003575C1">
      <w:pPr>
        <w:jc w:val="both"/>
        <w:rPr>
          <w:rFonts w:cstheme="minorHAnsi"/>
        </w:rPr>
      </w:pPr>
    </w:p>
    <w:p w14:paraId="260C5861" w14:textId="77777777" w:rsidR="003575C1" w:rsidRPr="00774649" w:rsidRDefault="003575C1" w:rsidP="003575C1">
      <w:pPr>
        <w:jc w:val="both"/>
        <w:rPr>
          <w:rFonts w:cstheme="minorHAnsi"/>
        </w:rPr>
      </w:pPr>
      <w:r w:rsidRPr="00774649">
        <w:rPr>
          <w:rFonts w:cstheme="minorHAnsi"/>
        </w:rPr>
        <w:t>The following guidance is provided to assist in the preparation of the budget.</w:t>
      </w:r>
    </w:p>
    <w:p w14:paraId="42A751C9" w14:textId="77777777" w:rsidR="003575C1" w:rsidRPr="00774649" w:rsidRDefault="003575C1" w:rsidP="003575C1">
      <w:pPr>
        <w:numPr>
          <w:ilvl w:val="0"/>
          <w:numId w:val="75"/>
        </w:numPr>
        <w:spacing w:before="60"/>
        <w:contextualSpacing w:val="0"/>
        <w:rPr>
          <w:rFonts w:cstheme="minorHAnsi"/>
        </w:rPr>
      </w:pPr>
      <w:r w:rsidRPr="00774649">
        <w:rPr>
          <w:rFonts w:cstheme="minorHAnsi"/>
        </w:rPr>
        <w:lastRenderedPageBreak/>
        <w:t>Any single line item more than $1,000 should have a detailed justification. Break down line items exceeding $1,000 through notations of quantity, explanation, or additional line items to clarify how funding will be expended. Note: The Excel document does not calculate the quantity by the original amount; the original amount must be the total cost of the purchase.</w:t>
      </w:r>
    </w:p>
    <w:p w14:paraId="27F96FFA" w14:textId="77777777" w:rsidR="003575C1" w:rsidRPr="00774649" w:rsidRDefault="003575C1" w:rsidP="003575C1">
      <w:pPr>
        <w:numPr>
          <w:ilvl w:val="0"/>
          <w:numId w:val="75"/>
        </w:numPr>
        <w:spacing w:before="60"/>
        <w:contextualSpacing w:val="0"/>
        <w:rPr>
          <w:rFonts w:cstheme="minorHAnsi"/>
        </w:rPr>
      </w:pPr>
      <w:r w:rsidRPr="00774649">
        <w:rPr>
          <w:rFonts w:cstheme="minorHAnsi"/>
        </w:rPr>
        <w:t xml:space="preserve">Do keep in mind that budget submissions can go through several reviews prior to approval; therefore, budget </w:t>
      </w:r>
      <w:r w:rsidRPr="00774649">
        <w:rPr>
          <w:rFonts w:cstheme="minorHAnsi"/>
          <w:i/>
        </w:rPr>
        <w:t>time</w:t>
      </w:r>
      <w:r w:rsidRPr="00774649">
        <w:rPr>
          <w:rFonts w:cstheme="minorHAnsi"/>
        </w:rPr>
        <w:t xml:space="preserve"> adequately.</w:t>
      </w:r>
    </w:p>
    <w:p w14:paraId="27498923" w14:textId="77777777" w:rsidR="003575C1" w:rsidRPr="00774649" w:rsidRDefault="003575C1" w:rsidP="003575C1">
      <w:pPr>
        <w:numPr>
          <w:ilvl w:val="0"/>
          <w:numId w:val="75"/>
        </w:numPr>
        <w:spacing w:before="60"/>
        <w:contextualSpacing w:val="0"/>
        <w:rPr>
          <w:rFonts w:cstheme="minorHAnsi"/>
        </w:rPr>
      </w:pPr>
      <w:r w:rsidRPr="00774649">
        <w:rPr>
          <w:rFonts w:cstheme="minorHAnsi"/>
        </w:rPr>
        <w:t>Up to $125 per hour can be budgeted for administrator and business mentoring costs. It is important to include the rate and total estimated hours.</w:t>
      </w:r>
    </w:p>
    <w:p w14:paraId="4B1EC9D9" w14:textId="77777777" w:rsidR="003575C1" w:rsidRPr="00774649" w:rsidRDefault="003575C1" w:rsidP="003575C1">
      <w:pPr>
        <w:numPr>
          <w:ilvl w:val="0"/>
          <w:numId w:val="75"/>
        </w:numPr>
        <w:spacing w:before="60"/>
        <w:contextualSpacing w:val="0"/>
        <w:rPr>
          <w:rFonts w:cstheme="minorHAnsi"/>
        </w:rPr>
      </w:pPr>
      <w:r w:rsidRPr="00774649">
        <w:rPr>
          <w:rFonts w:cstheme="minorHAnsi"/>
        </w:rPr>
        <w:t>Attendance at conferences must be justified against the grant project goals and is limited to two individuals (unless it can be demonstrated that attendance is necessary for additional staff for professional development purposes).</w:t>
      </w:r>
    </w:p>
    <w:p w14:paraId="77326444" w14:textId="77777777" w:rsidR="003575C1" w:rsidRPr="00774649" w:rsidRDefault="003575C1" w:rsidP="003575C1">
      <w:pPr>
        <w:numPr>
          <w:ilvl w:val="0"/>
          <w:numId w:val="75"/>
        </w:numPr>
        <w:spacing w:before="60"/>
        <w:contextualSpacing w:val="0"/>
        <w:rPr>
          <w:rFonts w:cstheme="minorHAnsi"/>
        </w:rPr>
      </w:pPr>
      <w:r w:rsidRPr="00774649">
        <w:rPr>
          <w:rFonts w:cstheme="minorHAnsi"/>
        </w:rPr>
        <w:t>Requests for specialized training must include expected attendees, expected outcomes, topic(s), provider, cost, and a plan for sustaining that training.</w:t>
      </w:r>
    </w:p>
    <w:p w14:paraId="633D8E1F" w14:textId="77777777" w:rsidR="003575C1" w:rsidRPr="00774649" w:rsidRDefault="003575C1" w:rsidP="003575C1">
      <w:pPr>
        <w:numPr>
          <w:ilvl w:val="0"/>
          <w:numId w:val="75"/>
        </w:numPr>
        <w:spacing w:before="60"/>
        <w:contextualSpacing w:val="0"/>
        <w:rPr>
          <w:rFonts w:cstheme="minorHAnsi"/>
        </w:rPr>
      </w:pPr>
      <w:r w:rsidRPr="00774649">
        <w:rPr>
          <w:rFonts w:cstheme="minorHAnsi"/>
        </w:rPr>
        <w:t>Budget expenditures must be supported by a sufficient description that provides the number of staff/students to be served; this can be grade level or actual number of participants. In subsequent years, this is critical as the grant is not intended to address recurring costs.</w:t>
      </w:r>
    </w:p>
    <w:p w14:paraId="4B821A32" w14:textId="77777777" w:rsidR="003575C1" w:rsidRPr="00774649" w:rsidRDefault="003575C1" w:rsidP="003575C1">
      <w:pPr>
        <w:numPr>
          <w:ilvl w:val="0"/>
          <w:numId w:val="75"/>
        </w:numPr>
        <w:spacing w:before="60"/>
        <w:contextualSpacing w:val="0"/>
        <w:rPr>
          <w:rFonts w:cstheme="minorHAnsi"/>
        </w:rPr>
      </w:pPr>
      <w:r w:rsidRPr="00774649">
        <w:rPr>
          <w:rFonts w:cstheme="minorHAnsi"/>
        </w:rPr>
        <w:t>Performance management and professional development requests must include number of participants, number of days, and cost per person per day, topic, and provider.</w:t>
      </w:r>
    </w:p>
    <w:p w14:paraId="5933CF52" w14:textId="77777777" w:rsidR="003575C1" w:rsidRPr="00774649" w:rsidRDefault="003575C1" w:rsidP="003575C1">
      <w:pPr>
        <w:numPr>
          <w:ilvl w:val="0"/>
          <w:numId w:val="75"/>
        </w:numPr>
        <w:spacing w:before="60"/>
        <w:contextualSpacing w:val="0"/>
        <w:rPr>
          <w:rFonts w:cstheme="minorHAnsi"/>
        </w:rPr>
      </w:pPr>
      <w:r w:rsidRPr="00774649">
        <w:rPr>
          <w:rFonts w:cstheme="minorHAnsi"/>
        </w:rPr>
        <w:t xml:space="preserve">It is in the best interest of the charter school applicant to request only reasonable funding levels </w:t>
      </w:r>
      <w:proofErr w:type="gramStart"/>
      <w:r w:rsidRPr="00774649">
        <w:rPr>
          <w:rFonts w:cstheme="minorHAnsi"/>
        </w:rPr>
        <w:t>in order to</w:t>
      </w:r>
      <w:proofErr w:type="gramEnd"/>
      <w:r w:rsidRPr="00774649">
        <w:rPr>
          <w:rFonts w:cstheme="minorHAnsi"/>
        </w:rPr>
        <w:t xml:space="preserve"> maximize the total award. Budget line items that are unrealistic will be cut or trimmed. For example, if $8,000 is requested to send six individuals to a national conference, you may be asked to instead send two people each year over a three-year period.</w:t>
      </w:r>
    </w:p>
    <w:p w14:paraId="33A570DB" w14:textId="77777777" w:rsidR="003575C1" w:rsidRPr="00774649" w:rsidRDefault="003575C1" w:rsidP="003575C1">
      <w:pPr>
        <w:numPr>
          <w:ilvl w:val="0"/>
          <w:numId w:val="75"/>
        </w:numPr>
        <w:spacing w:before="60"/>
        <w:contextualSpacing w:val="0"/>
        <w:rPr>
          <w:rFonts w:cstheme="minorHAnsi"/>
        </w:rPr>
      </w:pPr>
      <w:r w:rsidRPr="00774649">
        <w:rPr>
          <w:rFonts w:cstheme="minorHAnsi"/>
        </w:rPr>
        <w:t xml:space="preserve">Subcontracting is allowed, but schools must comply with procurement policies as outlined UGG § 200.317. </w:t>
      </w:r>
    </w:p>
    <w:p w14:paraId="6CE742E5" w14:textId="77777777" w:rsidR="003575C1" w:rsidRPr="00774649" w:rsidRDefault="003575C1" w:rsidP="003575C1">
      <w:pPr>
        <w:numPr>
          <w:ilvl w:val="0"/>
          <w:numId w:val="75"/>
        </w:numPr>
        <w:spacing w:before="60"/>
        <w:contextualSpacing w:val="0"/>
        <w:rPr>
          <w:rFonts w:cstheme="minorHAnsi"/>
        </w:rPr>
      </w:pPr>
      <w:r w:rsidRPr="00774649">
        <w:rPr>
          <w:rFonts w:cstheme="minorHAnsi"/>
        </w:rPr>
        <w:t xml:space="preserve">Please follow your authorizer’s internal policies and procedures when budgeting for supplies, non-capital, and capital equipment. </w:t>
      </w:r>
    </w:p>
    <w:p w14:paraId="7EFE3403" w14:textId="77777777" w:rsidR="003575C1" w:rsidRPr="00774649" w:rsidRDefault="003575C1" w:rsidP="003575C1">
      <w:pPr>
        <w:numPr>
          <w:ilvl w:val="1"/>
          <w:numId w:val="75"/>
        </w:numPr>
        <w:spacing w:before="60"/>
        <w:contextualSpacing w:val="0"/>
        <w:rPr>
          <w:rFonts w:cstheme="minorHAnsi"/>
        </w:rPr>
      </w:pPr>
      <w:r w:rsidRPr="00774649">
        <w:rPr>
          <w:rFonts w:cstheme="minorHAnsi"/>
        </w:rPr>
        <w:t>In general supplies are small purchases that are consumed, worn out or deteriorated through use; or items that lose their identity through fabrication or incorporation into different or more complex units or substances</w:t>
      </w:r>
    </w:p>
    <w:p w14:paraId="791E5BC9" w14:textId="77777777" w:rsidR="003575C1" w:rsidRPr="00774649" w:rsidRDefault="003575C1" w:rsidP="003575C1">
      <w:pPr>
        <w:numPr>
          <w:ilvl w:val="1"/>
          <w:numId w:val="75"/>
        </w:numPr>
        <w:spacing w:before="60"/>
        <w:contextualSpacing w:val="0"/>
        <w:rPr>
          <w:rFonts w:cstheme="minorHAnsi"/>
        </w:rPr>
      </w:pPr>
      <w:r w:rsidRPr="00774649">
        <w:rPr>
          <w:rFonts w:cstheme="minorHAnsi"/>
        </w:rPr>
        <w:t>In general, non-capital purchases are valuable in nature and classified as equipment but costing less than the authorizer’s policy for capital assets inventory. For example, iPads are generally a non-capital purchase and should be tracked and inventoried to mitigate theft</w:t>
      </w:r>
    </w:p>
    <w:p w14:paraId="1CB4223C" w14:textId="77777777" w:rsidR="003575C1" w:rsidRPr="00774649" w:rsidRDefault="003575C1" w:rsidP="003575C1">
      <w:pPr>
        <w:numPr>
          <w:ilvl w:val="1"/>
          <w:numId w:val="75"/>
        </w:numPr>
        <w:spacing w:before="60"/>
        <w:contextualSpacing w:val="0"/>
        <w:rPr>
          <w:rFonts w:cstheme="minorHAnsi"/>
        </w:rPr>
      </w:pPr>
      <w:r w:rsidRPr="00774649">
        <w:rPr>
          <w:rFonts w:cstheme="minorHAnsi"/>
        </w:rPr>
        <w:t>In general, capital purchases are above $5,000 per unit including any taxes, shipping, and installation charges. These items are meant to be used for more than a year and need to be properly depreciated through the authorizer’s accounting system. At the end of the useful life, CDE needs to be made aware of any possible sale or disposal of capital equipment as funds may need to be sent back to the federal government.</w:t>
      </w:r>
    </w:p>
    <w:p w14:paraId="45922725" w14:textId="77777777" w:rsidR="003575C1" w:rsidRPr="00774649" w:rsidRDefault="003575C1" w:rsidP="003575C1">
      <w:pPr>
        <w:spacing w:before="60"/>
        <w:contextualSpacing w:val="0"/>
        <w:rPr>
          <w:rFonts w:cstheme="minorHAnsi"/>
          <w:b/>
          <w:bCs/>
        </w:rPr>
      </w:pPr>
      <w:r w:rsidRPr="00774649">
        <w:rPr>
          <w:rFonts w:cstheme="minorHAnsi"/>
          <w:b/>
          <w:bCs/>
        </w:rPr>
        <w:t xml:space="preserve">Required Policies and Procedures </w:t>
      </w:r>
    </w:p>
    <w:p w14:paraId="12F49DFF" w14:textId="77777777" w:rsidR="003575C1" w:rsidRPr="00774649" w:rsidRDefault="003575C1" w:rsidP="003575C1">
      <w:pPr>
        <w:spacing w:before="60"/>
        <w:contextualSpacing w:val="0"/>
        <w:rPr>
          <w:rFonts w:cstheme="minorHAnsi"/>
        </w:rPr>
      </w:pPr>
      <w:r w:rsidRPr="00774649">
        <w:rPr>
          <w:rFonts w:cstheme="minorHAnsi"/>
        </w:rPr>
        <w:t>Schools awarded will be required to establish the following fiscal policies and procedures. This is a requirement of the UGG 2 CFR 200 and must be in place to established to ensure compliance.</w:t>
      </w:r>
    </w:p>
    <w:p w14:paraId="4D5DF429" w14:textId="77777777" w:rsidR="003575C1" w:rsidRPr="00774649" w:rsidRDefault="003575C1" w:rsidP="003575C1">
      <w:pPr>
        <w:pStyle w:val="ListParagraph"/>
        <w:numPr>
          <w:ilvl w:val="0"/>
          <w:numId w:val="176"/>
        </w:numPr>
        <w:spacing w:before="60"/>
        <w:rPr>
          <w:rFonts w:cstheme="minorHAnsi"/>
          <w:lang w:bidi="en-US"/>
        </w:rPr>
      </w:pPr>
      <w:proofErr w:type="gramStart"/>
      <w:r w:rsidRPr="00774649">
        <w:rPr>
          <w:rFonts w:cstheme="minorHAnsi"/>
          <w:lang w:bidi="en-US"/>
        </w:rPr>
        <w:t>200.302  Financial</w:t>
      </w:r>
      <w:proofErr w:type="gramEnd"/>
      <w:r w:rsidRPr="00774649">
        <w:rPr>
          <w:rFonts w:cstheme="minorHAnsi"/>
          <w:lang w:bidi="en-US"/>
        </w:rPr>
        <w:t xml:space="preserve"> Management</w:t>
      </w:r>
    </w:p>
    <w:p w14:paraId="286CAF66" w14:textId="77777777" w:rsidR="003575C1" w:rsidRPr="00774649" w:rsidRDefault="003575C1" w:rsidP="003575C1">
      <w:pPr>
        <w:pStyle w:val="ListParagraph"/>
        <w:numPr>
          <w:ilvl w:val="0"/>
          <w:numId w:val="176"/>
        </w:numPr>
        <w:spacing w:before="60"/>
        <w:contextualSpacing w:val="0"/>
        <w:rPr>
          <w:rFonts w:cstheme="minorHAnsi"/>
        </w:rPr>
      </w:pPr>
      <w:proofErr w:type="gramStart"/>
      <w:r w:rsidRPr="00774649">
        <w:rPr>
          <w:rFonts w:cstheme="minorHAnsi"/>
        </w:rPr>
        <w:t>200.319  Procurement</w:t>
      </w:r>
      <w:proofErr w:type="gramEnd"/>
    </w:p>
    <w:p w14:paraId="6C91A21C" w14:textId="77777777" w:rsidR="003575C1" w:rsidRPr="00774649" w:rsidRDefault="003575C1" w:rsidP="003575C1">
      <w:pPr>
        <w:pStyle w:val="ListParagraph"/>
        <w:numPr>
          <w:ilvl w:val="0"/>
          <w:numId w:val="176"/>
        </w:numPr>
        <w:spacing w:before="60"/>
        <w:contextualSpacing w:val="0"/>
        <w:rPr>
          <w:rFonts w:cstheme="minorHAnsi"/>
        </w:rPr>
      </w:pPr>
      <w:proofErr w:type="gramStart"/>
      <w:r w:rsidRPr="00774649">
        <w:rPr>
          <w:rFonts w:cstheme="minorHAnsi"/>
        </w:rPr>
        <w:t>200.318  Conflict</w:t>
      </w:r>
      <w:proofErr w:type="gramEnd"/>
      <w:r w:rsidRPr="00774649">
        <w:rPr>
          <w:rFonts w:cstheme="minorHAnsi"/>
        </w:rPr>
        <w:t xml:space="preserve"> of Interest</w:t>
      </w:r>
    </w:p>
    <w:p w14:paraId="2A050602" w14:textId="77777777" w:rsidR="003575C1" w:rsidRPr="00774649" w:rsidRDefault="003575C1" w:rsidP="003575C1">
      <w:pPr>
        <w:pStyle w:val="ListParagraph"/>
        <w:numPr>
          <w:ilvl w:val="0"/>
          <w:numId w:val="176"/>
        </w:numPr>
        <w:spacing w:before="60"/>
        <w:contextualSpacing w:val="0"/>
        <w:rPr>
          <w:rFonts w:cstheme="minorHAnsi"/>
        </w:rPr>
      </w:pPr>
      <w:proofErr w:type="gramStart"/>
      <w:r w:rsidRPr="00774649">
        <w:rPr>
          <w:rFonts w:cstheme="minorHAnsi"/>
        </w:rPr>
        <w:t>200.320  Micro</w:t>
      </w:r>
      <w:proofErr w:type="gramEnd"/>
      <w:r w:rsidRPr="00774649">
        <w:rPr>
          <w:rFonts w:cstheme="minorHAnsi"/>
        </w:rPr>
        <w:t>-Purchases</w:t>
      </w:r>
    </w:p>
    <w:p w14:paraId="1DC43BB1" w14:textId="77777777" w:rsidR="003575C1" w:rsidRPr="00774649" w:rsidRDefault="003575C1" w:rsidP="003575C1">
      <w:pPr>
        <w:pStyle w:val="ListParagraph"/>
        <w:numPr>
          <w:ilvl w:val="0"/>
          <w:numId w:val="176"/>
        </w:numPr>
        <w:spacing w:before="60"/>
        <w:contextualSpacing w:val="0"/>
        <w:rPr>
          <w:rFonts w:cstheme="minorHAnsi"/>
        </w:rPr>
      </w:pPr>
      <w:proofErr w:type="gramStart"/>
      <w:r w:rsidRPr="00774649">
        <w:rPr>
          <w:rFonts w:cstheme="minorHAnsi"/>
        </w:rPr>
        <w:t>200.333  Record</w:t>
      </w:r>
      <w:proofErr w:type="gramEnd"/>
      <w:r w:rsidRPr="00774649">
        <w:rPr>
          <w:rFonts w:cstheme="minorHAnsi"/>
        </w:rPr>
        <w:t xml:space="preserve"> Retention</w:t>
      </w:r>
    </w:p>
    <w:p w14:paraId="0C32BB4A" w14:textId="77777777" w:rsidR="003575C1" w:rsidRPr="00774649" w:rsidRDefault="003575C1" w:rsidP="003575C1">
      <w:pPr>
        <w:rPr>
          <w:rFonts w:cstheme="minorHAnsi"/>
        </w:rPr>
      </w:pPr>
    </w:p>
    <w:p w14:paraId="1147AC06" w14:textId="77777777" w:rsidR="003575C1" w:rsidRPr="00774649" w:rsidRDefault="003575C1" w:rsidP="003575C1">
      <w:pPr>
        <w:pStyle w:val="Heading9"/>
        <w:rPr>
          <w:rFonts w:cstheme="minorHAnsi"/>
        </w:rPr>
      </w:pPr>
      <w:r w:rsidRPr="00774649">
        <w:rPr>
          <w:rFonts w:cstheme="minorHAnsi"/>
        </w:rPr>
        <w:lastRenderedPageBreak/>
        <w:t>Allowable Costs</w:t>
      </w:r>
    </w:p>
    <w:p w14:paraId="059F271E" w14:textId="77777777" w:rsidR="003575C1" w:rsidRPr="00774649" w:rsidRDefault="003575C1" w:rsidP="003575C1">
      <w:pPr>
        <w:jc w:val="both"/>
        <w:rPr>
          <w:rFonts w:cstheme="minorHAnsi"/>
        </w:rPr>
      </w:pPr>
      <w:r w:rsidRPr="00774649">
        <w:rPr>
          <w:rFonts w:cstheme="minorHAnsi"/>
        </w:rPr>
        <w:t xml:space="preserve">To ensure that federal funds go as far as possible, proposed budgets must adhere strictly to the federal policy.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UGG. All expenditures must tie to the approved application </w:t>
      </w:r>
      <w:r w:rsidRPr="00774649">
        <w:rPr>
          <w:rFonts w:cstheme="minorHAnsi"/>
          <w:u w:val="single"/>
        </w:rPr>
        <w:t>and</w:t>
      </w:r>
      <w:r w:rsidRPr="00774649">
        <w:rPr>
          <w:rFonts w:cstheme="minorHAnsi"/>
        </w:rPr>
        <w:t xml:space="preserve"> must be adequately documented. As a general matter, the following are examples of costs that may be include, but are not necessarily limited to:</w:t>
      </w:r>
    </w:p>
    <w:p w14:paraId="45AC6192" w14:textId="77777777" w:rsidR="003575C1" w:rsidRPr="00774649" w:rsidRDefault="003575C1" w:rsidP="003575C1">
      <w:pPr>
        <w:rPr>
          <w:rFonts w:cstheme="minorHAnsi"/>
        </w:rPr>
      </w:pPr>
    </w:p>
    <w:p w14:paraId="0127F64F" w14:textId="77777777" w:rsidR="003575C1" w:rsidRPr="00774649" w:rsidRDefault="003575C1" w:rsidP="003575C1">
      <w:pPr>
        <w:pStyle w:val="ListParagraph"/>
        <w:numPr>
          <w:ilvl w:val="0"/>
          <w:numId w:val="75"/>
        </w:numPr>
        <w:rPr>
          <w:rFonts w:cstheme="minorHAnsi"/>
        </w:rPr>
      </w:pPr>
      <w:r w:rsidRPr="00774649">
        <w:rPr>
          <w:rFonts w:cstheme="minorHAnsi"/>
        </w:rPr>
        <w:t xml:space="preserve">All expenditures must be necessary, reasonable, and allocable to the grant </w:t>
      </w:r>
      <w:proofErr w:type="gramStart"/>
      <w:r w:rsidRPr="00774649">
        <w:rPr>
          <w:rFonts w:cstheme="minorHAnsi"/>
        </w:rPr>
        <w:t>in order to</w:t>
      </w:r>
      <w:proofErr w:type="gramEnd"/>
      <w:r w:rsidRPr="00774649">
        <w:rPr>
          <w:rFonts w:cstheme="minorHAnsi"/>
        </w:rPr>
        <w:t xml:space="preserve"> be allowable under the CSP (2 CFR 200.403(a)). </w:t>
      </w:r>
      <w:proofErr w:type="gramStart"/>
      <w:r w:rsidRPr="00774649">
        <w:rPr>
          <w:rFonts w:cstheme="minorHAnsi"/>
        </w:rPr>
        <w:t>In particular, sub-</w:t>
      </w:r>
      <w:proofErr w:type="gramEnd"/>
      <w:r w:rsidRPr="00774649">
        <w:rPr>
          <w:rFonts w:cstheme="minorHAnsi"/>
        </w:rPr>
        <w:t>grantees should refer to the following provisions:</w:t>
      </w:r>
    </w:p>
    <w:p w14:paraId="7520E71F" w14:textId="77777777" w:rsidR="003575C1" w:rsidRPr="00774649" w:rsidRDefault="003575C1" w:rsidP="003575C1">
      <w:pPr>
        <w:rPr>
          <w:rFonts w:cstheme="minorHAnsi"/>
          <w:b/>
          <w:i/>
        </w:rPr>
      </w:pPr>
    </w:p>
    <w:p w14:paraId="0A4F99D6" w14:textId="77777777" w:rsidR="003575C1" w:rsidRPr="00774649" w:rsidRDefault="003575C1" w:rsidP="003575C1">
      <w:pPr>
        <w:pStyle w:val="ListParagraph"/>
        <w:numPr>
          <w:ilvl w:val="1"/>
          <w:numId w:val="75"/>
        </w:numPr>
        <w:rPr>
          <w:rFonts w:cstheme="minorHAnsi"/>
          <w:i/>
        </w:rPr>
      </w:pPr>
      <w:r w:rsidRPr="00774649">
        <w:rPr>
          <w:rFonts w:cstheme="minorHAnsi"/>
          <w:b/>
          <w:i/>
        </w:rPr>
        <w:t>Necessary cost:</w:t>
      </w:r>
      <w:r w:rsidRPr="00774649">
        <w:rPr>
          <w:rFonts w:cstheme="minorHAnsi"/>
          <w:i/>
        </w:rPr>
        <w:t xml:space="preserve">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2ACD5247" w14:textId="77777777" w:rsidR="003575C1" w:rsidRPr="00774649" w:rsidRDefault="003575C1" w:rsidP="003575C1">
      <w:pPr>
        <w:pStyle w:val="ListParagraph"/>
        <w:numPr>
          <w:ilvl w:val="1"/>
          <w:numId w:val="75"/>
        </w:numPr>
        <w:spacing w:before="120"/>
        <w:contextualSpacing w:val="0"/>
        <w:rPr>
          <w:rFonts w:cstheme="minorHAnsi"/>
          <w:i/>
        </w:rPr>
      </w:pPr>
      <w:r w:rsidRPr="00774649">
        <w:rPr>
          <w:rFonts w:cstheme="minorHAnsi"/>
          <w:b/>
          <w:i/>
        </w:rPr>
        <w:t>Reasonable cost:</w:t>
      </w:r>
      <w:r w:rsidRPr="00774649">
        <w:rPr>
          <w:rFonts w:cstheme="minorHAnsi"/>
          <w:i/>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21DA35BA" w14:textId="77777777" w:rsidR="003575C1" w:rsidRPr="00774649" w:rsidRDefault="003575C1" w:rsidP="003575C1">
      <w:pPr>
        <w:pStyle w:val="ListParagraph"/>
        <w:numPr>
          <w:ilvl w:val="1"/>
          <w:numId w:val="75"/>
        </w:numPr>
        <w:spacing w:before="120"/>
        <w:contextualSpacing w:val="0"/>
        <w:rPr>
          <w:rFonts w:cstheme="minorHAnsi"/>
          <w:i/>
        </w:rPr>
      </w:pPr>
      <w:r w:rsidRPr="00774649">
        <w:rPr>
          <w:rFonts w:cstheme="minorHAnsi"/>
          <w:b/>
          <w:i/>
        </w:rPr>
        <w:t>Allocable cost:</w:t>
      </w:r>
      <w:r w:rsidRPr="00774649">
        <w:rPr>
          <w:rFonts w:cstheme="minorHAnsi"/>
          <w:i/>
        </w:rPr>
        <w:t xml:space="preserve"> A cost is allocable if the goods and services involved are chargeable or assignable to the grant in accordance with the relative benefits received. (2 CFR 200.405(a)) An example of allocability would be the purchase of computers for grade levels not covered by the grant. The grant was written for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graders; however, the budget has included costs for 6</w:t>
      </w:r>
      <w:r w:rsidRPr="00774649">
        <w:rPr>
          <w:rFonts w:cstheme="minorHAnsi"/>
          <w:i/>
          <w:vertAlign w:val="superscript"/>
        </w:rPr>
        <w:t>th</w:t>
      </w:r>
      <w:r w:rsidRPr="00774649">
        <w:rPr>
          <w:rFonts w:cstheme="minorHAnsi"/>
          <w:i/>
        </w:rPr>
        <w:t xml:space="preserve"> grade. The costs that would be covered would be those allocable to the 4</w:t>
      </w:r>
      <w:r w:rsidRPr="00774649">
        <w:rPr>
          <w:rFonts w:cstheme="minorHAnsi"/>
          <w:i/>
          <w:vertAlign w:val="superscript"/>
        </w:rPr>
        <w:t>th</w:t>
      </w:r>
      <w:r w:rsidRPr="00774649">
        <w:rPr>
          <w:rFonts w:cstheme="minorHAnsi"/>
          <w:i/>
        </w:rPr>
        <w:t xml:space="preserve"> and 5</w:t>
      </w:r>
      <w:r w:rsidRPr="00774649">
        <w:rPr>
          <w:rFonts w:cstheme="minorHAnsi"/>
          <w:i/>
          <w:vertAlign w:val="superscript"/>
        </w:rPr>
        <w:t>th</w:t>
      </w:r>
      <w:r w:rsidRPr="00774649">
        <w:rPr>
          <w:rFonts w:cstheme="minorHAnsi"/>
          <w:i/>
        </w:rPr>
        <w:t xml:space="preserve"> grade only.  </w:t>
      </w:r>
    </w:p>
    <w:p w14:paraId="4B4BE26F" w14:textId="77777777" w:rsidR="003575C1" w:rsidRPr="00774649" w:rsidRDefault="003575C1" w:rsidP="003575C1">
      <w:pPr>
        <w:rPr>
          <w:rFonts w:cstheme="minorHAnsi"/>
        </w:rPr>
      </w:pPr>
    </w:p>
    <w:p w14:paraId="393A8934" w14:textId="77777777" w:rsidR="003575C1" w:rsidRPr="00774649" w:rsidRDefault="003575C1" w:rsidP="003575C1">
      <w:pPr>
        <w:jc w:val="both"/>
        <w:rPr>
          <w:rFonts w:cstheme="minorHAnsi"/>
        </w:rPr>
      </w:pPr>
      <w:r w:rsidRPr="00774649">
        <w:rPr>
          <w:rFonts w:cstheme="minorHAnsi"/>
        </w:rPr>
        <w:t>The following is a list of costs that are covered by the grant. It is not a complete list and is provided as guidance for budget preparation:</w:t>
      </w:r>
    </w:p>
    <w:p w14:paraId="15AE514E"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Curriculum</w:t>
      </w:r>
      <w:r w:rsidRPr="00774649">
        <w:rPr>
          <w:rFonts w:cstheme="minorHAnsi"/>
        </w:rPr>
        <w:t xml:space="preserve"> – Expenditures are only allowed for initial training prior to the implementation of a new curriculum or existing curriculum for a new grade level.</w:t>
      </w:r>
    </w:p>
    <w:p w14:paraId="5B71E6C4"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Legal fees</w:t>
      </w:r>
      <w:r w:rsidRPr="00774649">
        <w:rPr>
          <w:rFonts w:cstheme="minorHAnsi"/>
        </w:rPr>
        <w:t xml:space="preserve"> limited to direct legal services for employee and lease contract are allowed. If legal fees are budgeted beyond the first year, additional information must be provided to support the request. It is anticipated that the legal fees covered by the grant would be completed prior to the school opening. Additional costs must be reviewed by CDE to ensure they are allowed.</w:t>
      </w:r>
    </w:p>
    <w:p w14:paraId="3BAEC758" w14:textId="77777777" w:rsidR="003575C1" w:rsidRPr="00774649" w:rsidRDefault="003575C1" w:rsidP="003575C1">
      <w:pPr>
        <w:pStyle w:val="ListParagraph"/>
        <w:numPr>
          <w:ilvl w:val="0"/>
          <w:numId w:val="75"/>
        </w:numPr>
        <w:spacing w:before="60"/>
        <w:contextualSpacing w:val="0"/>
        <w:rPr>
          <w:rFonts w:cstheme="minorHAnsi"/>
          <w:b/>
          <w:bCs/>
        </w:rPr>
      </w:pPr>
      <w:r w:rsidRPr="00774649">
        <w:rPr>
          <w:rFonts w:cstheme="minorHAnsi"/>
          <w:b/>
          <w:bCs/>
        </w:rPr>
        <w:t xml:space="preserve">Marketing – </w:t>
      </w:r>
      <w:r w:rsidRPr="00774649">
        <w:rPr>
          <w:rFonts w:cstheme="minorHAnsi"/>
        </w:rPr>
        <w:t>The costs associated with student recruitment and creating parent awareness of school such as creating a webpage for the new school, advertisement via mailings, business cards for staff.</w:t>
      </w:r>
    </w:p>
    <w:p w14:paraId="3B224227"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 xml:space="preserve">Community Engagement Activities – </w:t>
      </w:r>
      <w:r w:rsidRPr="00774649">
        <w:rPr>
          <w:rFonts w:cstheme="minorHAnsi"/>
        </w:rPr>
        <w:t>The costs related to student and staff recruitment along with informing community about the school. Cannot include food costs or promotional items.</w:t>
      </w:r>
    </w:p>
    <w:p w14:paraId="2C509B13"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Salaries (Contracted Services)</w:t>
      </w:r>
      <w:r w:rsidRPr="00774649">
        <w:rPr>
          <w:rFonts w:cstheme="minorHAnsi"/>
        </w:rPr>
        <w:t xml:space="preserve"> – Hiring and compensating teachers, school leaders, and/or specialized instructional support during the planning period is allowed. Time and effort documentation is required for all personnel compensated with federal funds UGG § 200.430 Compensation-Personal Services (</w:t>
      </w:r>
      <w:proofErr w:type="spellStart"/>
      <w:r w:rsidRPr="00774649">
        <w:rPr>
          <w:rFonts w:cstheme="minorHAnsi"/>
        </w:rPr>
        <w:t>i</w:t>
      </w:r>
      <w:proofErr w:type="spellEnd"/>
      <w:r w:rsidRPr="00774649">
        <w:rPr>
          <w:rFonts w:cstheme="minorHAnsi"/>
        </w:rPr>
        <w:t xml:space="preserve">) Standards for Documentation of Personnel. If a school will be </w:t>
      </w:r>
      <w:r w:rsidRPr="00774649">
        <w:rPr>
          <w:rFonts w:cstheme="minorHAnsi"/>
        </w:rPr>
        <w:lastRenderedPageBreak/>
        <w:t>submitting salary for two staff that are not the principal/head of school or the business manager, they must submit this request for prior approval.</w:t>
      </w:r>
    </w:p>
    <w:p w14:paraId="2B59F7A1"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Site licenses</w:t>
      </w:r>
      <w:r w:rsidRPr="00774649">
        <w:rPr>
          <w:rFonts w:cstheme="minorHAnsi"/>
        </w:rPr>
        <w:t xml:space="preserve"> for software </w:t>
      </w:r>
    </w:p>
    <w:p w14:paraId="357D9928" w14:textId="77777777" w:rsidR="003575C1" w:rsidRPr="00774649" w:rsidRDefault="003575C1" w:rsidP="003575C1">
      <w:pPr>
        <w:numPr>
          <w:ilvl w:val="0"/>
          <w:numId w:val="75"/>
        </w:numPr>
        <w:spacing w:before="60"/>
        <w:contextualSpacing w:val="0"/>
        <w:rPr>
          <w:rFonts w:cstheme="minorHAnsi"/>
          <w:b/>
          <w:bCs/>
        </w:rPr>
      </w:pPr>
      <w:r w:rsidRPr="00774649">
        <w:rPr>
          <w:rFonts w:cstheme="minorHAnsi"/>
          <w:b/>
          <w:bCs/>
        </w:rPr>
        <w:t xml:space="preserve">Telephones </w:t>
      </w:r>
    </w:p>
    <w:p w14:paraId="2E6959D1"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 xml:space="preserve">Computers </w:t>
      </w:r>
      <w:r w:rsidRPr="00774649">
        <w:rPr>
          <w:rFonts w:cstheme="minorHAnsi"/>
        </w:rPr>
        <w:t>for staff and students</w:t>
      </w:r>
    </w:p>
    <w:p w14:paraId="1AA768F1" w14:textId="77777777" w:rsidR="003575C1" w:rsidRPr="00774649" w:rsidRDefault="003575C1" w:rsidP="003575C1">
      <w:pPr>
        <w:numPr>
          <w:ilvl w:val="0"/>
          <w:numId w:val="75"/>
        </w:numPr>
        <w:spacing w:before="60"/>
        <w:contextualSpacing w:val="0"/>
        <w:rPr>
          <w:rFonts w:cstheme="minorHAnsi"/>
        </w:rPr>
      </w:pPr>
      <w:r w:rsidRPr="00774649">
        <w:rPr>
          <w:rFonts w:cstheme="minorHAnsi"/>
          <w:b/>
        </w:rPr>
        <w:t xml:space="preserve">Student/Classroom Furnishings – </w:t>
      </w:r>
      <w:r w:rsidRPr="00774649">
        <w:rPr>
          <w:rFonts w:cstheme="minorHAnsi"/>
        </w:rPr>
        <w:t>should be based on projected enrollment</w:t>
      </w:r>
    </w:p>
    <w:p w14:paraId="23719A01" w14:textId="77777777" w:rsidR="003575C1" w:rsidRPr="00774649" w:rsidRDefault="003575C1" w:rsidP="003575C1">
      <w:pPr>
        <w:rPr>
          <w:rFonts w:cstheme="minorHAnsi"/>
        </w:rPr>
      </w:pPr>
    </w:p>
    <w:p w14:paraId="582DD188" w14:textId="77777777" w:rsidR="003575C1" w:rsidRPr="00774649" w:rsidRDefault="003575C1" w:rsidP="003575C1">
      <w:pPr>
        <w:rPr>
          <w:rFonts w:cstheme="minorHAnsi"/>
        </w:rPr>
      </w:pPr>
      <w:r w:rsidRPr="00774649">
        <w:rPr>
          <w:rFonts w:cstheme="minorHAnsi"/>
        </w:rPr>
        <w:t>Generally allowable costs are:</w:t>
      </w:r>
    </w:p>
    <w:p w14:paraId="70CC3EF2" w14:textId="77777777" w:rsidR="003575C1" w:rsidRPr="00774649" w:rsidRDefault="003575C1" w:rsidP="003575C1">
      <w:pPr>
        <w:pStyle w:val="ListParagraph"/>
        <w:numPr>
          <w:ilvl w:val="0"/>
          <w:numId w:val="160"/>
        </w:numPr>
        <w:spacing w:before="60"/>
        <w:contextualSpacing w:val="0"/>
        <w:rPr>
          <w:rFonts w:cstheme="minorHAnsi"/>
        </w:rPr>
      </w:pPr>
      <w:r w:rsidRPr="00774649">
        <w:rPr>
          <w:rFonts w:cstheme="minorHAnsi"/>
        </w:rPr>
        <w:t>Customary (e.g., interventionist or coaching salaries and benefits, and professional development opportunities based on need)</w:t>
      </w:r>
    </w:p>
    <w:p w14:paraId="6697C35F" w14:textId="77777777" w:rsidR="003575C1" w:rsidRPr="00774649" w:rsidRDefault="003575C1" w:rsidP="003575C1">
      <w:pPr>
        <w:pStyle w:val="ListParagraph"/>
        <w:numPr>
          <w:ilvl w:val="0"/>
          <w:numId w:val="160"/>
        </w:numPr>
        <w:spacing w:before="60"/>
        <w:contextualSpacing w:val="0"/>
        <w:rPr>
          <w:rFonts w:cstheme="minorHAnsi"/>
        </w:rPr>
      </w:pPr>
      <w:r w:rsidRPr="00774649">
        <w:rPr>
          <w:rFonts w:cstheme="minorHAnsi"/>
        </w:rPr>
        <w:t>Allowed by circulars, regulations, policy, and guidance</w:t>
      </w:r>
    </w:p>
    <w:p w14:paraId="672EFE48" w14:textId="77777777" w:rsidR="003575C1" w:rsidRPr="00774649" w:rsidRDefault="003575C1" w:rsidP="003575C1">
      <w:pPr>
        <w:pStyle w:val="ListParagraph"/>
        <w:numPr>
          <w:ilvl w:val="0"/>
          <w:numId w:val="160"/>
        </w:numPr>
        <w:spacing w:before="60"/>
        <w:contextualSpacing w:val="0"/>
        <w:rPr>
          <w:rFonts w:cstheme="minorHAnsi"/>
        </w:rPr>
      </w:pPr>
      <w:r w:rsidRPr="00774649">
        <w:rPr>
          <w:rFonts w:cstheme="minorHAnsi"/>
        </w:rPr>
        <w:t>Disclosed in the budget submitted to the State agency</w:t>
      </w:r>
    </w:p>
    <w:p w14:paraId="10DE0A25" w14:textId="77777777" w:rsidR="003575C1" w:rsidRPr="00774649" w:rsidRDefault="003575C1" w:rsidP="003575C1">
      <w:pPr>
        <w:pStyle w:val="ListParagraph"/>
        <w:numPr>
          <w:ilvl w:val="0"/>
          <w:numId w:val="160"/>
        </w:numPr>
        <w:spacing w:before="60"/>
        <w:contextualSpacing w:val="0"/>
        <w:rPr>
          <w:rFonts w:cstheme="minorHAnsi"/>
        </w:rPr>
      </w:pPr>
      <w:r w:rsidRPr="00774649">
        <w:rPr>
          <w:rFonts w:cstheme="minorHAnsi"/>
        </w:rPr>
        <w:t>Approved in advance through the budget authorization process</w:t>
      </w:r>
    </w:p>
    <w:p w14:paraId="3137D5D4" w14:textId="77777777" w:rsidR="003575C1" w:rsidRPr="00774649" w:rsidRDefault="003575C1" w:rsidP="003575C1">
      <w:pPr>
        <w:rPr>
          <w:rFonts w:cstheme="minorHAnsi"/>
        </w:rPr>
      </w:pPr>
    </w:p>
    <w:p w14:paraId="4612FC2F" w14:textId="77777777" w:rsidR="003575C1" w:rsidRPr="00774649" w:rsidRDefault="003575C1" w:rsidP="003575C1">
      <w:pPr>
        <w:pStyle w:val="Heading9"/>
        <w:rPr>
          <w:rFonts w:cstheme="minorHAnsi"/>
        </w:rPr>
      </w:pPr>
      <w:r w:rsidRPr="00774649">
        <w:rPr>
          <w:rFonts w:cstheme="minorHAnsi"/>
        </w:rPr>
        <w:t>Recurring Costs Not Covered by CCSP</w:t>
      </w:r>
    </w:p>
    <w:p w14:paraId="61616C91" w14:textId="77777777" w:rsidR="003575C1" w:rsidRPr="00774649" w:rsidRDefault="003575C1" w:rsidP="003575C1">
      <w:pPr>
        <w:jc w:val="both"/>
        <w:rPr>
          <w:rFonts w:cstheme="minorHAnsi"/>
        </w:rPr>
      </w:pPr>
      <w:r w:rsidRPr="00774649">
        <w:rPr>
          <w:rFonts w:cstheme="minorHAnsi"/>
        </w:rPr>
        <w:t>The following items are examples of recurring costs that are not allowed without additional documentation explaining the additional request:</w:t>
      </w:r>
    </w:p>
    <w:p w14:paraId="718EDA2E" w14:textId="77777777" w:rsidR="003575C1" w:rsidRPr="00774649" w:rsidRDefault="003575C1" w:rsidP="003575C1">
      <w:pPr>
        <w:pStyle w:val="ListParagraph"/>
        <w:numPr>
          <w:ilvl w:val="0"/>
          <w:numId w:val="105"/>
        </w:numPr>
        <w:spacing w:before="60"/>
        <w:contextualSpacing w:val="0"/>
        <w:rPr>
          <w:rFonts w:cstheme="minorHAnsi"/>
        </w:rPr>
      </w:pPr>
      <w:r w:rsidRPr="00774649">
        <w:rPr>
          <w:rFonts w:cstheme="minorHAnsi"/>
        </w:rPr>
        <w:t>Software licensing renewals</w:t>
      </w:r>
    </w:p>
    <w:p w14:paraId="1054F8F2" w14:textId="77777777" w:rsidR="003575C1" w:rsidRPr="00774649" w:rsidRDefault="003575C1" w:rsidP="003575C1">
      <w:pPr>
        <w:pStyle w:val="ListParagraph"/>
        <w:numPr>
          <w:ilvl w:val="0"/>
          <w:numId w:val="105"/>
        </w:numPr>
        <w:spacing w:before="60"/>
        <w:contextualSpacing w:val="0"/>
        <w:rPr>
          <w:rFonts w:cstheme="minorHAnsi"/>
        </w:rPr>
      </w:pPr>
      <w:r w:rsidRPr="00774649">
        <w:rPr>
          <w:rFonts w:cstheme="minorHAnsi"/>
        </w:rPr>
        <w:t>Supplies that were clearly purchased in the prior year</w:t>
      </w:r>
    </w:p>
    <w:p w14:paraId="26DF147D" w14:textId="77777777" w:rsidR="003575C1" w:rsidRPr="00774649" w:rsidRDefault="003575C1" w:rsidP="003575C1">
      <w:pPr>
        <w:pStyle w:val="ListParagraph"/>
        <w:numPr>
          <w:ilvl w:val="0"/>
          <w:numId w:val="105"/>
        </w:numPr>
        <w:spacing w:before="60"/>
        <w:contextualSpacing w:val="0"/>
        <w:rPr>
          <w:rFonts w:cstheme="minorHAnsi"/>
        </w:rPr>
      </w:pPr>
      <w:r w:rsidRPr="00774649">
        <w:rPr>
          <w:rFonts w:cstheme="minorHAnsi"/>
        </w:rPr>
        <w:t>Curriculum purchased in the prior year</w:t>
      </w:r>
    </w:p>
    <w:p w14:paraId="5721B834" w14:textId="77777777" w:rsidR="003575C1" w:rsidRPr="00774649" w:rsidRDefault="003575C1" w:rsidP="003575C1">
      <w:pPr>
        <w:pStyle w:val="ListParagraph"/>
        <w:numPr>
          <w:ilvl w:val="0"/>
          <w:numId w:val="105"/>
        </w:numPr>
        <w:spacing w:before="60"/>
        <w:contextualSpacing w:val="0"/>
        <w:rPr>
          <w:rFonts w:cstheme="minorHAnsi"/>
        </w:rPr>
      </w:pPr>
      <w:r w:rsidRPr="00774649">
        <w:rPr>
          <w:rFonts w:cstheme="minorHAnsi"/>
        </w:rPr>
        <w:t>Legal fees for lease or employment contracts that were included in a prior year or in final year of grant.</w:t>
      </w:r>
    </w:p>
    <w:p w14:paraId="43A496F4" w14:textId="77777777" w:rsidR="003575C1" w:rsidRPr="00774649" w:rsidRDefault="003575C1" w:rsidP="003575C1">
      <w:pPr>
        <w:pStyle w:val="ListParagraph"/>
        <w:numPr>
          <w:ilvl w:val="0"/>
          <w:numId w:val="105"/>
        </w:numPr>
        <w:spacing w:before="60"/>
        <w:contextualSpacing w:val="0"/>
        <w:rPr>
          <w:rFonts w:cstheme="minorHAnsi"/>
        </w:rPr>
      </w:pPr>
      <w:r w:rsidRPr="00774649">
        <w:rPr>
          <w:rFonts w:cstheme="minorHAnsi"/>
        </w:rPr>
        <w:t>Professional development that is not progressive in nature is considered recurring if it does not clearly indicate it is for a new cohort of teachers</w:t>
      </w:r>
    </w:p>
    <w:p w14:paraId="1C3FF658" w14:textId="77777777" w:rsidR="003575C1" w:rsidRPr="00774649" w:rsidRDefault="003575C1" w:rsidP="003575C1">
      <w:pPr>
        <w:rPr>
          <w:rFonts w:cstheme="minorHAnsi"/>
        </w:rPr>
      </w:pPr>
    </w:p>
    <w:p w14:paraId="5CDA506E" w14:textId="77777777" w:rsidR="003575C1" w:rsidRPr="00774649" w:rsidRDefault="003575C1" w:rsidP="003575C1">
      <w:pPr>
        <w:jc w:val="both"/>
        <w:rPr>
          <w:rFonts w:cstheme="minorHAnsi"/>
        </w:rPr>
      </w:pPr>
      <w:r w:rsidRPr="00774649">
        <w:rPr>
          <w:rFonts w:cstheme="minorHAnsi"/>
        </w:rPr>
        <w:t>This list is not fully comprehensive but is presented to show typical items that would be considered recurring under the CCSP grant.</w:t>
      </w:r>
    </w:p>
    <w:p w14:paraId="3E4C6A39" w14:textId="77777777" w:rsidR="003575C1" w:rsidRPr="00774649" w:rsidRDefault="003575C1" w:rsidP="003575C1">
      <w:pPr>
        <w:rPr>
          <w:rFonts w:cstheme="minorHAnsi"/>
          <w:highlight w:val="yellow"/>
        </w:rPr>
      </w:pPr>
    </w:p>
    <w:p w14:paraId="1493D384" w14:textId="77777777" w:rsidR="003575C1" w:rsidRPr="00774649" w:rsidRDefault="003575C1" w:rsidP="003575C1">
      <w:pPr>
        <w:pStyle w:val="Heading9"/>
        <w:rPr>
          <w:rFonts w:cstheme="minorHAnsi"/>
        </w:rPr>
      </w:pPr>
      <w:r w:rsidRPr="00774649">
        <w:rPr>
          <w:rFonts w:cstheme="minorHAnsi"/>
        </w:rPr>
        <w:t>Costs Not Covered by CCSP Grant</w:t>
      </w:r>
    </w:p>
    <w:p w14:paraId="06263B62" w14:textId="77777777" w:rsidR="003575C1" w:rsidRPr="00774649" w:rsidRDefault="003575C1" w:rsidP="003575C1">
      <w:pPr>
        <w:rPr>
          <w:rFonts w:cstheme="minorHAnsi"/>
        </w:rPr>
      </w:pPr>
      <w:r w:rsidRPr="00774649">
        <w:rPr>
          <w:rFonts w:cstheme="minorHAnsi"/>
        </w:rPr>
        <w:t xml:space="preserve">The following are examples of costs that are not covered by the CCSP grant and is provided as guidance in preparation of the budget: </w:t>
      </w:r>
    </w:p>
    <w:p w14:paraId="03C0DC92" w14:textId="77777777" w:rsidR="003575C1" w:rsidRPr="00774649" w:rsidRDefault="003575C1" w:rsidP="003575C1">
      <w:pPr>
        <w:pStyle w:val="ListParagraph"/>
        <w:numPr>
          <w:ilvl w:val="0"/>
          <w:numId w:val="173"/>
        </w:numPr>
        <w:spacing w:before="60"/>
        <w:contextualSpacing w:val="0"/>
        <w:rPr>
          <w:rFonts w:cstheme="minorHAnsi"/>
        </w:rPr>
      </w:pPr>
      <w:r w:rsidRPr="00774649">
        <w:rPr>
          <w:rFonts w:cstheme="minorHAnsi"/>
        </w:rPr>
        <w:t>Architecture fees</w:t>
      </w:r>
    </w:p>
    <w:p w14:paraId="18DA88D6" w14:textId="77777777" w:rsidR="003575C1" w:rsidRPr="00774649" w:rsidRDefault="003575C1" w:rsidP="003575C1">
      <w:pPr>
        <w:pStyle w:val="ListParagraph"/>
        <w:numPr>
          <w:ilvl w:val="0"/>
          <w:numId w:val="106"/>
        </w:numPr>
        <w:spacing w:before="60"/>
        <w:contextualSpacing w:val="0"/>
        <w:rPr>
          <w:rFonts w:cstheme="minorHAnsi"/>
        </w:rPr>
      </w:pPr>
      <w:r w:rsidRPr="00774649">
        <w:rPr>
          <w:rFonts w:cstheme="minorHAnsi"/>
        </w:rPr>
        <w:t>Before and after school programs</w:t>
      </w:r>
    </w:p>
    <w:p w14:paraId="12C02B46" w14:textId="77777777" w:rsidR="003575C1" w:rsidRPr="00774649" w:rsidRDefault="003575C1" w:rsidP="003575C1">
      <w:pPr>
        <w:pStyle w:val="ListParagraph"/>
        <w:numPr>
          <w:ilvl w:val="0"/>
          <w:numId w:val="106"/>
        </w:numPr>
        <w:spacing w:before="60"/>
        <w:contextualSpacing w:val="0"/>
        <w:rPr>
          <w:rFonts w:cstheme="minorHAnsi"/>
        </w:rPr>
      </w:pPr>
      <w:r w:rsidRPr="00774649">
        <w:rPr>
          <w:rFonts w:cstheme="minorHAnsi"/>
        </w:rPr>
        <w:t>Bus passes</w:t>
      </w:r>
    </w:p>
    <w:p w14:paraId="7148D260" w14:textId="77777777" w:rsidR="003575C1" w:rsidRPr="00774649" w:rsidRDefault="003575C1" w:rsidP="003575C1">
      <w:pPr>
        <w:pStyle w:val="ListParagraph"/>
        <w:numPr>
          <w:ilvl w:val="0"/>
          <w:numId w:val="106"/>
        </w:numPr>
        <w:spacing w:before="60"/>
        <w:contextualSpacing w:val="0"/>
        <w:rPr>
          <w:rFonts w:cstheme="minorHAnsi"/>
        </w:rPr>
      </w:pPr>
      <w:r w:rsidRPr="00774649">
        <w:rPr>
          <w:rFonts w:cstheme="minorHAnsi"/>
        </w:rPr>
        <w:t>Building insurance costs are considered facility cost</w:t>
      </w:r>
    </w:p>
    <w:p w14:paraId="11BBA4B0"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Financial audit fees</w:t>
      </w:r>
    </w:p>
    <w:p w14:paraId="66A9B87F"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Food costs for staff, students, or parents</w:t>
      </w:r>
    </w:p>
    <w:p w14:paraId="1817C1B2"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Gift certificates, alcoholic beverages, school apparel for staff or students, fines and penalties, and lobbying</w:t>
      </w:r>
    </w:p>
    <w:p w14:paraId="626E902B"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Grant oversight expenses</w:t>
      </w:r>
    </w:p>
    <w:p w14:paraId="469DBEE7"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Hiring/recruitment expenses such as a placement firm or travel for prospective employees (small amounts for advertising are acceptable)</w:t>
      </w:r>
    </w:p>
    <w:p w14:paraId="2CB1725F"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Installation costs associated with playground and/or fitness equipment, unless demonstrated as necessary to the school’s vision/goals (subject to pre-approval)</w:t>
      </w:r>
    </w:p>
    <w:p w14:paraId="2E7D60CF"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lastRenderedPageBreak/>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1AF7A4D1"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Legal fees outside of those directly related to employee and lease contracts</w:t>
      </w:r>
    </w:p>
    <w:p w14:paraId="297AA192"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Normal operating expenses such as utilities</w:t>
      </w:r>
    </w:p>
    <w:p w14:paraId="609527FE"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Professional dues or memberships</w:t>
      </w:r>
    </w:p>
    <w:p w14:paraId="552C1FD4"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Rental insurance costs are considered facility cost</w:t>
      </w:r>
    </w:p>
    <w:p w14:paraId="18CDD8B7"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Salary and benefits for staff once the school has opened</w:t>
      </w:r>
    </w:p>
    <w:p w14:paraId="2BFFB002"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Student recruitment in the form of promotional items, food costs or any type of incentives</w:t>
      </w:r>
    </w:p>
    <w:p w14:paraId="0B101A2A"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Traffic study fees</w:t>
      </w:r>
    </w:p>
    <w:p w14:paraId="03C88425"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Travel costs for student expeditions (travel, etc.)</w:t>
      </w:r>
    </w:p>
    <w:p w14:paraId="3E822C79"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 xml:space="preserve">Moving expenses such as truck rental, movers, moving equipment or supplies, or storage facility fees </w:t>
      </w:r>
    </w:p>
    <w:p w14:paraId="22F0FE2B"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Student recruitment expenses beyond $20,000 in Planning Year and $10,000 in Year 1 and Year 2 Implementation.</w:t>
      </w:r>
    </w:p>
    <w:p w14:paraId="125373CB"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Non-educational/non-informative promotional/novelty items for advertising, events, or recruiting.</w:t>
      </w:r>
    </w:p>
    <w:p w14:paraId="268DE0C1"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2BF413D2"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Colorado League of Charter School’s accountability self-studies and site visit expenses</w:t>
      </w:r>
    </w:p>
    <w:p w14:paraId="4DA9329C"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Colorado League of Charter School’s or other retreats, unless based on needs assessment</w:t>
      </w:r>
    </w:p>
    <w:p w14:paraId="6F0763E9" w14:textId="77777777" w:rsidR="003575C1" w:rsidRPr="00774649" w:rsidRDefault="003575C1" w:rsidP="003575C1">
      <w:pPr>
        <w:numPr>
          <w:ilvl w:val="0"/>
          <w:numId w:val="74"/>
        </w:numPr>
        <w:tabs>
          <w:tab w:val="clear" w:pos="1080"/>
          <w:tab w:val="num" w:pos="720"/>
        </w:tabs>
        <w:spacing w:before="60"/>
        <w:ind w:left="720"/>
        <w:contextualSpacing w:val="0"/>
        <w:rPr>
          <w:rFonts w:cstheme="minorHAnsi"/>
        </w:rPr>
      </w:pPr>
      <w:r w:rsidRPr="00774649">
        <w:rPr>
          <w:rFonts w:cstheme="minorHAnsi"/>
        </w:rPr>
        <w:t>Out-of-state travel unless it can be demonstrated that the goal of the travel cannot be accomplished in-state (no out-of-country travel is permitted)</w:t>
      </w:r>
    </w:p>
    <w:p w14:paraId="0990C84D" w14:textId="77777777" w:rsidR="003575C1" w:rsidRPr="00774649" w:rsidRDefault="003575C1" w:rsidP="003575C1">
      <w:pPr>
        <w:rPr>
          <w:rFonts w:cstheme="minorHAnsi"/>
        </w:rPr>
      </w:pPr>
    </w:p>
    <w:p w14:paraId="1260DFC2" w14:textId="77777777" w:rsidR="003575C1" w:rsidRPr="00774649" w:rsidRDefault="003575C1" w:rsidP="003575C1">
      <w:pPr>
        <w:rPr>
          <w:rFonts w:cstheme="minorHAnsi"/>
        </w:rPr>
      </w:pPr>
      <w:r w:rsidRPr="00774649">
        <w:rPr>
          <w:rFonts w:cstheme="minorHAnsi"/>
        </w:rPr>
        <w:t>This list is not fully comprehensive but is presented to show typical items that cannot be covered with CCSP grant funds.</w:t>
      </w:r>
    </w:p>
    <w:p w14:paraId="2974C848" w14:textId="77777777" w:rsidR="003575C1" w:rsidRPr="00774649" w:rsidRDefault="003575C1" w:rsidP="003575C1">
      <w:pPr>
        <w:rPr>
          <w:rFonts w:cstheme="minorHAnsi"/>
          <w:highlight w:val="yellow"/>
        </w:rPr>
      </w:pPr>
    </w:p>
    <w:p w14:paraId="00342B7B" w14:textId="77777777" w:rsidR="003575C1" w:rsidRPr="00774649" w:rsidRDefault="003575C1" w:rsidP="003575C1">
      <w:pPr>
        <w:pStyle w:val="Heading8"/>
        <w:spacing w:line="240" w:lineRule="auto"/>
        <w:contextualSpacing/>
        <w:rPr>
          <w:rFonts w:cstheme="minorHAnsi"/>
        </w:rPr>
      </w:pPr>
      <w:r w:rsidRPr="00774649">
        <w:rPr>
          <w:rFonts w:cstheme="minorHAnsi"/>
        </w:rPr>
        <w:t>Chart of Accounts – Coding of Expenditures</w:t>
      </w:r>
    </w:p>
    <w:p w14:paraId="6C74BF6F" w14:textId="77777777" w:rsidR="003575C1" w:rsidRPr="00774649" w:rsidRDefault="003575C1" w:rsidP="003575C1">
      <w:pPr>
        <w:jc w:val="both"/>
        <w:rPr>
          <w:rFonts w:cstheme="minorHAnsi"/>
        </w:rPr>
      </w:pPr>
      <w:r w:rsidRPr="00774649">
        <w:rPr>
          <w:rFonts w:cstheme="minorHAnsi"/>
        </w:rPr>
        <w:t xml:space="preserve">CDE COA was developed in response to 22-44-105(4), C.R.S., introduced as H.B. 1213 and enacted by the legislature in 1994. CDE and all school districts and Board of Cooperative Educational Services in the state shall use the system to report and obtain necessary financial information. It is important to review the CDE COA available at: </w:t>
      </w:r>
      <w:hyperlink r:id="rId10" w:history="1">
        <w:r w:rsidRPr="00774649">
          <w:rPr>
            <w:rStyle w:val="Hyperlink"/>
            <w:rFonts w:cstheme="minorHAnsi"/>
          </w:rPr>
          <w:t>https://www.cde.state.co.us/cdefinance/sfcoa</w:t>
        </w:r>
      </w:hyperlink>
    </w:p>
    <w:p w14:paraId="55E0F68B" w14:textId="77777777" w:rsidR="003575C1" w:rsidRPr="00774649" w:rsidRDefault="003575C1" w:rsidP="003575C1">
      <w:pPr>
        <w:rPr>
          <w:rFonts w:cstheme="minorHAnsi"/>
        </w:rPr>
      </w:pPr>
    </w:p>
    <w:p w14:paraId="325F060B" w14:textId="77777777" w:rsidR="003575C1" w:rsidRPr="00774649" w:rsidRDefault="003575C1" w:rsidP="003575C1">
      <w:pPr>
        <w:pStyle w:val="Heading8"/>
        <w:spacing w:line="240" w:lineRule="auto"/>
        <w:contextualSpacing/>
        <w:rPr>
          <w:rFonts w:cstheme="minorHAnsi"/>
        </w:rPr>
      </w:pPr>
      <w:r w:rsidRPr="00774649">
        <w:rPr>
          <w:rFonts w:cstheme="minorHAnsi"/>
        </w:rPr>
        <w:t>Program/Object Categories</w:t>
      </w:r>
    </w:p>
    <w:p w14:paraId="02779BC8" w14:textId="77777777" w:rsidR="003575C1" w:rsidRPr="00774649" w:rsidRDefault="003575C1" w:rsidP="003575C1">
      <w:pPr>
        <w:jc w:val="both"/>
        <w:rPr>
          <w:rFonts w:cstheme="minorHAnsi"/>
        </w:rPr>
      </w:pPr>
      <w:r w:rsidRPr="00774649">
        <w:rPr>
          <w:rFonts w:cstheme="minorHAnsi"/>
        </w:rPr>
        <w:t>Examples of the types of expenses that may be included in each object category are listed below for categorization guidance only. Your budget narrative should give enough detail so that the appropriate object category can be confirmed.</w:t>
      </w:r>
    </w:p>
    <w:p w14:paraId="419FFB95" w14:textId="77777777" w:rsidR="003575C1" w:rsidRPr="00774649" w:rsidRDefault="003575C1" w:rsidP="003575C1">
      <w:pPr>
        <w:rPr>
          <w:rFonts w:cstheme="minorHAnsi"/>
        </w:rPr>
      </w:pPr>
    </w:p>
    <w:p w14:paraId="31835840" w14:textId="77777777" w:rsidR="003575C1" w:rsidRPr="00774649" w:rsidRDefault="003575C1" w:rsidP="003575C1">
      <w:pPr>
        <w:pStyle w:val="Heading8"/>
        <w:spacing w:line="240" w:lineRule="auto"/>
        <w:contextualSpacing/>
        <w:rPr>
          <w:rFonts w:cstheme="minorHAnsi"/>
        </w:rPr>
      </w:pPr>
      <w:r w:rsidRPr="00774649">
        <w:rPr>
          <w:rFonts w:cstheme="minorHAnsi"/>
        </w:rPr>
        <w:t>Instructional Program</w:t>
      </w:r>
      <w:r w:rsidRPr="00774649">
        <w:rPr>
          <w:rFonts w:cstheme="minorHAnsi"/>
          <w:smallCaps/>
          <w:spacing w:val="5"/>
        </w:rPr>
        <w:t xml:space="preserve"> </w:t>
      </w:r>
    </w:p>
    <w:p w14:paraId="16DD66EB" w14:textId="77777777" w:rsidR="003575C1" w:rsidRPr="00774649" w:rsidRDefault="003575C1" w:rsidP="003575C1">
      <w:pPr>
        <w:jc w:val="both"/>
        <w:rPr>
          <w:rFonts w:cstheme="minorHAnsi"/>
        </w:rPr>
      </w:pPr>
      <w:r w:rsidRPr="00774649">
        <w:rPr>
          <w:rFonts w:cstheme="minorHAnsi"/>
        </w:rPr>
        <w:t>Instruction includes activities dealing with direct interactions between staff and students. Teaching may be provided for students in a school classroom, in another location (such as a home or hospital), and in other learning situations, such as those involving co-curricular activities. Instructional activities may also include approved media, such as computer programs/software, television, radio, telephone, and correspondence. Included here are the activities of paraprofessionals, aides and classroom assistants, clerks, or graders, and the use of teaching machines or computers that assist in the instructional process of interaction between teachers and students.</w:t>
      </w:r>
    </w:p>
    <w:p w14:paraId="46C20CC7" w14:textId="77777777" w:rsidR="003575C1" w:rsidRPr="00774649" w:rsidRDefault="003575C1" w:rsidP="003575C1">
      <w:pPr>
        <w:rPr>
          <w:rFonts w:cstheme="minorHAnsi"/>
        </w:rPr>
      </w:pPr>
    </w:p>
    <w:p w14:paraId="1D710C1B" w14:textId="77777777" w:rsidR="003575C1" w:rsidRPr="00774649" w:rsidRDefault="003575C1" w:rsidP="003575C1">
      <w:pPr>
        <w:jc w:val="both"/>
        <w:rPr>
          <w:rFonts w:cstheme="minorHAnsi"/>
        </w:rPr>
      </w:pPr>
      <w:r w:rsidRPr="00774649">
        <w:rPr>
          <w:rFonts w:cstheme="minorHAnsi"/>
          <w:i/>
        </w:rPr>
        <w:lastRenderedPageBreak/>
        <w:t>(0300) Purchased, Professional and Technical Services</w:t>
      </w:r>
      <w:r w:rsidRPr="00774649">
        <w:rPr>
          <w:rFonts w:cstheme="minorHAnsi"/>
        </w:rPr>
        <w:t xml:space="preserve"> - Consultant fees, professional educational services and other services performed by persons or firms with specialized skills and knowledge. In addition, property services to operate, repair or maintain school property (not continuous). </w:t>
      </w:r>
    </w:p>
    <w:p w14:paraId="14EA2B2C" w14:textId="77777777" w:rsidR="003575C1" w:rsidRPr="00774649" w:rsidRDefault="003575C1" w:rsidP="003575C1">
      <w:pPr>
        <w:rPr>
          <w:rFonts w:cstheme="minorHAnsi"/>
        </w:rPr>
      </w:pPr>
    </w:p>
    <w:p w14:paraId="7686F5C5" w14:textId="77777777" w:rsidR="003575C1" w:rsidRPr="00774649" w:rsidRDefault="003575C1" w:rsidP="003575C1">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Please remember that any out of state travel must have prior approval before expenses may be incurred.</w:t>
      </w:r>
    </w:p>
    <w:p w14:paraId="328F8F03" w14:textId="77777777" w:rsidR="003575C1" w:rsidRPr="00774649" w:rsidRDefault="003575C1" w:rsidP="003575C1">
      <w:pPr>
        <w:rPr>
          <w:rFonts w:cstheme="minorHAnsi"/>
        </w:rPr>
      </w:pPr>
    </w:p>
    <w:p w14:paraId="486E3716" w14:textId="77777777" w:rsidR="003575C1" w:rsidRPr="00774649" w:rsidRDefault="003575C1" w:rsidP="003575C1">
      <w:pPr>
        <w:jc w:val="both"/>
        <w:rPr>
          <w:rFonts w:cstheme="minorHAnsi"/>
        </w:rPr>
      </w:pPr>
      <w:r w:rsidRPr="00774649">
        <w:rPr>
          <w:rFonts w:cstheme="minorHAnsi"/>
          <w:i/>
        </w:rPr>
        <w:t>(0600) Supplies/Materials</w:t>
      </w:r>
      <w:r w:rsidRPr="00774649">
        <w:rPr>
          <w:rFonts w:cstheme="minorHAnsi"/>
        </w:rPr>
        <w:t xml:space="preserve"> – Instructional materials, supplies, books, and other general supplies that can be consumed, worn out, or deteriorate through use. Curriculum software licenses and inexpensive classroom furnishings below $500 each would fall under this category.</w:t>
      </w:r>
    </w:p>
    <w:p w14:paraId="47442E65" w14:textId="77777777" w:rsidR="003575C1" w:rsidRPr="00774649" w:rsidRDefault="003575C1" w:rsidP="003575C1">
      <w:pPr>
        <w:rPr>
          <w:rFonts w:cstheme="minorHAnsi"/>
        </w:rPr>
      </w:pPr>
    </w:p>
    <w:p w14:paraId="1DB4A5A5" w14:textId="77777777" w:rsidR="003575C1" w:rsidRPr="00774649" w:rsidRDefault="003575C1" w:rsidP="003575C1">
      <w:pPr>
        <w:pStyle w:val="Heading8"/>
        <w:spacing w:line="240" w:lineRule="auto"/>
        <w:contextualSpacing/>
        <w:rPr>
          <w:rFonts w:cstheme="minorHAnsi"/>
        </w:rPr>
      </w:pPr>
      <w:r w:rsidRPr="00774649">
        <w:rPr>
          <w:rFonts w:cstheme="minorHAnsi"/>
        </w:rPr>
        <w:t>Support Program</w:t>
      </w:r>
    </w:p>
    <w:p w14:paraId="36437353" w14:textId="77777777" w:rsidR="003575C1" w:rsidRPr="00774649" w:rsidRDefault="003575C1" w:rsidP="003575C1">
      <w:pPr>
        <w:jc w:val="both"/>
        <w:rPr>
          <w:rFonts w:cstheme="minorHAnsi"/>
        </w:rPr>
      </w:pPr>
      <w:r w:rsidRPr="00774649">
        <w:rPr>
          <w:rFonts w:cstheme="minorHAnsi"/>
        </w:rPr>
        <w:t xml:space="preserve">Support service programs are activities that facilitate and enhance instruction. Support services include school-based and general administrative functions and centralized operations for the benefit of students, instructional staff, other staff, and the community. </w:t>
      </w:r>
    </w:p>
    <w:p w14:paraId="54ABFC76" w14:textId="77777777" w:rsidR="003575C1" w:rsidRPr="00774649" w:rsidRDefault="003575C1" w:rsidP="003575C1">
      <w:pPr>
        <w:jc w:val="both"/>
        <w:rPr>
          <w:rFonts w:cstheme="minorHAnsi"/>
          <w:b/>
        </w:rPr>
      </w:pPr>
    </w:p>
    <w:p w14:paraId="65011561" w14:textId="77777777" w:rsidR="003575C1" w:rsidRPr="00774649" w:rsidRDefault="003575C1" w:rsidP="003575C1">
      <w:pPr>
        <w:jc w:val="both"/>
        <w:rPr>
          <w:rFonts w:cstheme="minorHAnsi"/>
        </w:rPr>
      </w:pPr>
      <w:r w:rsidRPr="00774649">
        <w:rPr>
          <w:rFonts w:cstheme="minorHAnsi"/>
          <w:i/>
        </w:rPr>
        <w:t>(0100) Salaries</w:t>
      </w:r>
      <w:r w:rsidRPr="00774649">
        <w:rPr>
          <w:rFonts w:cstheme="minorHAnsi"/>
        </w:rPr>
        <w:t xml:space="preserve"> - Amounts paid related to personal services for both permanent and temporary employees. Amounts for planning, administration, etc. should be broken out.</w:t>
      </w:r>
    </w:p>
    <w:p w14:paraId="759E1442" w14:textId="77777777" w:rsidR="003575C1" w:rsidRPr="00774649" w:rsidRDefault="003575C1" w:rsidP="003575C1">
      <w:pPr>
        <w:jc w:val="both"/>
        <w:rPr>
          <w:rFonts w:cstheme="minorHAnsi"/>
        </w:rPr>
      </w:pPr>
    </w:p>
    <w:p w14:paraId="4C7C2901" w14:textId="77777777" w:rsidR="003575C1" w:rsidRPr="00774649" w:rsidRDefault="003575C1" w:rsidP="003575C1">
      <w:pPr>
        <w:jc w:val="both"/>
        <w:rPr>
          <w:rFonts w:cstheme="minorHAnsi"/>
        </w:rPr>
      </w:pPr>
      <w:r w:rsidRPr="00774649">
        <w:rPr>
          <w:rFonts w:cstheme="minorHAnsi"/>
          <w:i/>
        </w:rPr>
        <w:t>(0200) Employee Benefits</w:t>
      </w:r>
      <w:r w:rsidRPr="00774649">
        <w:rPr>
          <w:rFonts w:cstheme="minorHAnsi"/>
        </w:rPr>
        <w:t xml:space="preserve"> - Amounts paid for personal services for both permanent and temporary employees. Amounts for planning, administration, etc. should be broken out.</w:t>
      </w:r>
    </w:p>
    <w:p w14:paraId="523DDD1C" w14:textId="77777777" w:rsidR="003575C1" w:rsidRPr="00774649" w:rsidRDefault="003575C1" w:rsidP="003575C1">
      <w:pPr>
        <w:jc w:val="both"/>
        <w:rPr>
          <w:rFonts w:cstheme="minorHAnsi"/>
          <w:i/>
        </w:rPr>
      </w:pPr>
    </w:p>
    <w:p w14:paraId="2A585B88" w14:textId="77777777" w:rsidR="003575C1" w:rsidRPr="00774649" w:rsidRDefault="003575C1" w:rsidP="003575C1">
      <w:pPr>
        <w:jc w:val="both"/>
        <w:rPr>
          <w:rFonts w:cstheme="minorHAnsi"/>
        </w:rPr>
      </w:pPr>
      <w:r w:rsidRPr="00774649">
        <w:rPr>
          <w:rFonts w:cstheme="minorHAnsi"/>
          <w:i/>
        </w:rPr>
        <w:t>(0300) Purchased Professional and Technical Services</w:t>
      </w:r>
      <w:r w:rsidRPr="00774649">
        <w:rPr>
          <w:rFonts w:cstheme="minorHAnsi"/>
        </w:rPr>
        <w:t xml:space="preserve"> –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 Identification of specific vendors within the application does not remove the sub-grantee responsibility to follow their established procurement procedures. The grant requires </w:t>
      </w:r>
      <w:r w:rsidRPr="00774649">
        <w:rPr>
          <w:rFonts w:cstheme="minorHAnsi"/>
          <w:b/>
        </w:rPr>
        <w:t xml:space="preserve">ALL </w:t>
      </w:r>
      <w:r w:rsidRPr="00774649">
        <w:rPr>
          <w:rFonts w:cstheme="minorHAnsi"/>
        </w:rPr>
        <w:t xml:space="preserve">services that require a Contract or Memorandum of Understanding (MOU) follow the established sub-grantee procurement procedure to ensure there is no conflict of interest and all vendors have been cleared through the System of Award Management (sam.gov). </w:t>
      </w:r>
    </w:p>
    <w:p w14:paraId="1ABC3A83" w14:textId="77777777" w:rsidR="003575C1" w:rsidRPr="00774649" w:rsidRDefault="003575C1" w:rsidP="003575C1">
      <w:pPr>
        <w:jc w:val="both"/>
        <w:rPr>
          <w:rFonts w:cstheme="minorHAnsi"/>
        </w:rPr>
      </w:pPr>
    </w:p>
    <w:p w14:paraId="421D7FB8" w14:textId="77777777" w:rsidR="003575C1" w:rsidRPr="00774649" w:rsidRDefault="003575C1" w:rsidP="003575C1">
      <w:pPr>
        <w:jc w:val="both"/>
        <w:rPr>
          <w:rFonts w:cstheme="minorHAnsi"/>
        </w:rPr>
      </w:pPr>
      <w:r w:rsidRPr="00774649">
        <w:rPr>
          <w:rFonts w:cstheme="minorHAnsi"/>
        </w:rPr>
        <w:t xml:space="preserve">(0430) </w:t>
      </w:r>
      <w:r w:rsidRPr="00774649">
        <w:rPr>
          <w:rFonts w:cstheme="minorHAnsi"/>
          <w:i/>
        </w:rPr>
        <w:t>Repairs and Maintenance Service</w:t>
      </w:r>
      <w:r w:rsidRPr="00774649">
        <w:rPr>
          <w:rFonts w:cstheme="minorHAnsi"/>
        </w:rPr>
        <w:t xml:space="preserve"> – Expenditures for repairs and maintenance services not provided directly by school personnel or contracted services that align with the Minor Facility Repair Appendix. </w:t>
      </w:r>
    </w:p>
    <w:p w14:paraId="00B97E4E" w14:textId="77777777" w:rsidR="003575C1" w:rsidRPr="00774649" w:rsidRDefault="003575C1" w:rsidP="003575C1">
      <w:pPr>
        <w:jc w:val="both"/>
        <w:rPr>
          <w:rFonts w:cstheme="minorHAnsi"/>
        </w:rPr>
      </w:pPr>
    </w:p>
    <w:p w14:paraId="672F1C3F" w14:textId="77777777" w:rsidR="003575C1" w:rsidRPr="00774649" w:rsidRDefault="003575C1" w:rsidP="003575C1">
      <w:pPr>
        <w:jc w:val="both"/>
        <w:rPr>
          <w:rFonts w:cstheme="minorHAnsi"/>
        </w:rPr>
      </w:pPr>
      <w:r w:rsidRPr="00774649">
        <w:rPr>
          <w:rFonts w:cstheme="minorHAnsi"/>
          <w:i/>
        </w:rPr>
        <w:t>(0500) Other Purchased Services</w:t>
      </w:r>
      <w:r w:rsidRPr="00774649">
        <w:rPr>
          <w:rFonts w:cstheme="minorHAnsi"/>
        </w:rPr>
        <w:t xml:space="preserve"> - Includes services performed outside of professional or technical development related to the planning and implementation of the school or expansion project. Examples of such services include telephone service in the planning phase, printing services, postage, advertising; and any expenditure related to travel such as registration, mileage/airfare, and lodging. Also includes student transportation. Please remember that any out of state travel must have prior approval before expenses may be incurred.</w:t>
      </w:r>
    </w:p>
    <w:p w14:paraId="155B99A5" w14:textId="77777777" w:rsidR="003575C1" w:rsidRPr="00774649" w:rsidRDefault="003575C1" w:rsidP="003575C1">
      <w:pPr>
        <w:jc w:val="both"/>
        <w:rPr>
          <w:rFonts w:cstheme="minorHAnsi"/>
        </w:rPr>
      </w:pPr>
    </w:p>
    <w:p w14:paraId="76221E70" w14:textId="77777777" w:rsidR="003575C1" w:rsidRPr="00774649" w:rsidRDefault="003575C1" w:rsidP="003575C1">
      <w:pPr>
        <w:jc w:val="both"/>
        <w:rPr>
          <w:rFonts w:cstheme="minorHAnsi"/>
        </w:rPr>
      </w:pPr>
      <w:r w:rsidRPr="00774649">
        <w:rPr>
          <w:rFonts w:cstheme="minorHAnsi"/>
          <w:i/>
        </w:rPr>
        <w:t>(0600) Supplies/Materials</w:t>
      </w:r>
      <w:r w:rsidRPr="00774649">
        <w:rPr>
          <w:rFonts w:cstheme="minorHAnsi"/>
        </w:rPr>
        <w:t xml:space="preserve"> - Office supplies, books, non-curriculum software licenses, and other general supplies. Computer peripherals purchased outside of a system package (such as mice, keyboards, and computer speakers) also fall under this category.</w:t>
      </w:r>
    </w:p>
    <w:p w14:paraId="15F6A42E" w14:textId="77777777" w:rsidR="003575C1" w:rsidRPr="00774649" w:rsidRDefault="003575C1" w:rsidP="003575C1">
      <w:pPr>
        <w:rPr>
          <w:rFonts w:cstheme="minorHAnsi"/>
        </w:rPr>
      </w:pPr>
    </w:p>
    <w:p w14:paraId="320524FF" w14:textId="77777777" w:rsidR="003575C1" w:rsidRPr="00774649" w:rsidRDefault="003575C1" w:rsidP="003575C1">
      <w:pPr>
        <w:pStyle w:val="Heading8"/>
        <w:spacing w:line="240" w:lineRule="auto"/>
        <w:contextualSpacing/>
        <w:rPr>
          <w:rFonts w:cstheme="minorHAnsi"/>
        </w:rPr>
      </w:pPr>
      <w:r w:rsidRPr="00774649">
        <w:rPr>
          <w:rFonts w:cstheme="minorHAnsi"/>
        </w:rPr>
        <w:t>Equipment</w:t>
      </w:r>
    </w:p>
    <w:p w14:paraId="0A690B87" w14:textId="77777777" w:rsidR="003575C1" w:rsidRPr="00774649" w:rsidRDefault="003575C1" w:rsidP="003575C1">
      <w:pPr>
        <w:jc w:val="both"/>
        <w:rPr>
          <w:rFonts w:cstheme="minorHAnsi"/>
        </w:rPr>
      </w:pPr>
      <w:r w:rsidRPr="00774649">
        <w:rPr>
          <w:rFonts w:cstheme="minorHAnsi"/>
        </w:rPr>
        <w:t xml:space="preserve">The Federal definition of equipment is tangible personal property, (including information technology systems) having the useful life of more than one year and a per unit acquisition cost which equals or </w:t>
      </w:r>
      <w:r w:rsidRPr="00774649">
        <w:rPr>
          <w:rFonts w:cstheme="minorHAnsi"/>
        </w:rPr>
        <w:lastRenderedPageBreak/>
        <w:t>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7AEBF90E" w14:textId="77777777" w:rsidR="003575C1" w:rsidRPr="00774649" w:rsidRDefault="003575C1" w:rsidP="003575C1">
      <w:pPr>
        <w:jc w:val="both"/>
        <w:rPr>
          <w:rFonts w:cstheme="minorHAnsi"/>
        </w:rPr>
      </w:pPr>
    </w:p>
    <w:p w14:paraId="49BE8512" w14:textId="77777777" w:rsidR="003575C1" w:rsidRPr="00774649" w:rsidRDefault="003575C1" w:rsidP="003575C1">
      <w:pPr>
        <w:jc w:val="both"/>
        <w:rPr>
          <w:rFonts w:cstheme="minorHAnsi"/>
        </w:rPr>
      </w:pPr>
      <w:r w:rsidRPr="00774649">
        <w:rPr>
          <w:rFonts w:cstheme="minorHAnsi"/>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2D03EE77" w14:textId="77777777" w:rsidR="003575C1" w:rsidRPr="00774649" w:rsidRDefault="003575C1" w:rsidP="003575C1">
      <w:pPr>
        <w:jc w:val="both"/>
        <w:rPr>
          <w:rFonts w:cstheme="minorHAnsi"/>
        </w:rPr>
      </w:pPr>
    </w:p>
    <w:p w14:paraId="0AE0066D" w14:textId="77777777" w:rsidR="003575C1" w:rsidRPr="00774649" w:rsidRDefault="003575C1" w:rsidP="003575C1">
      <w:pPr>
        <w:jc w:val="both"/>
        <w:rPr>
          <w:rFonts w:cstheme="minorHAnsi"/>
        </w:rPr>
      </w:pPr>
      <w:r w:rsidRPr="00774649">
        <w:rPr>
          <w:rFonts w:cstheme="minorHAnsi"/>
          <w:i/>
        </w:rPr>
        <w:t>(0735) Equipment</w:t>
      </w:r>
      <w:r w:rsidRPr="00774649">
        <w:rPr>
          <w:rFonts w:cstheme="minorHAnsi"/>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and office furniture, vocational education equipment, and specialized technology furniture such as media carts. Please be sure to provide detail on large technology purchases, including cost per unit. </w:t>
      </w:r>
    </w:p>
    <w:p w14:paraId="4F634A1B" w14:textId="77777777" w:rsidR="003575C1" w:rsidRPr="00774649" w:rsidRDefault="003575C1" w:rsidP="003575C1">
      <w:pPr>
        <w:rPr>
          <w:rFonts w:cstheme="minorHAnsi"/>
          <w:b/>
        </w:rPr>
      </w:pPr>
    </w:p>
    <w:p w14:paraId="2F1EC4BA" w14:textId="77777777" w:rsidR="003575C1" w:rsidRPr="00774649" w:rsidRDefault="003575C1" w:rsidP="003575C1">
      <w:pPr>
        <w:ind w:left="900" w:hanging="900"/>
        <w:rPr>
          <w:rFonts w:cstheme="minorHAnsi"/>
        </w:rPr>
      </w:pPr>
      <w:r w:rsidRPr="00774649">
        <w:rPr>
          <w:rFonts w:cstheme="minorHAnsi"/>
          <w:b/>
        </w:rPr>
        <w:t xml:space="preserve">Example - </w:t>
      </w:r>
      <w:r w:rsidRPr="00774649">
        <w:rPr>
          <w:rFonts w:cstheme="minorHAnsi"/>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4A6DE205" w14:textId="77777777" w:rsidR="003575C1" w:rsidRPr="00774649" w:rsidRDefault="003575C1" w:rsidP="003575C1">
      <w:pPr>
        <w:rPr>
          <w:rFonts w:cstheme="minorHAnsi"/>
        </w:rPr>
      </w:pPr>
    </w:p>
    <w:p w14:paraId="7484BA79" w14:textId="77777777" w:rsidR="003575C1" w:rsidRPr="00774649" w:rsidRDefault="003575C1" w:rsidP="003575C1">
      <w:pPr>
        <w:pStyle w:val="Heading8"/>
        <w:spacing w:line="240" w:lineRule="auto"/>
        <w:contextualSpacing/>
        <w:rPr>
          <w:rFonts w:cstheme="minorHAnsi"/>
        </w:rPr>
      </w:pPr>
      <w:r w:rsidRPr="00774649">
        <w:rPr>
          <w:rFonts w:cstheme="minorHAnsi"/>
        </w:rPr>
        <w:t>Transportation</w:t>
      </w:r>
    </w:p>
    <w:p w14:paraId="22F299F0" w14:textId="77777777" w:rsidR="003575C1" w:rsidRPr="00774649" w:rsidRDefault="003575C1" w:rsidP="003575C1">
      <w:pPr>
        <w:jc w:val="both"/>
        <w:rPr>
          <w:rFonts w:cstheme="minorHAnsi"/>
          <w:color w:val="auto"/>
        </w:rPr>
      </w:pPr>
      <w:r w:rsidRPr="00774649">
        <w:rPr>
          <w:rFonts w:cstheme="minorHAnsi"/>
          <w:color w:val="auto"/>
        </w:rPr>
        <w:t>Under section 4303(h)(4) of the ESEA, sub-grantees may use federal CSP funds to provide “one-time, startup costs associated with providing transportation of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(UGG 2 CFR 200.12, 200.13, 200.329, and 200.439).</w:t>
      </w:r>
    </w:p>
    <w:p w14:paraId="500847E8" w14:textId="77777777" w:rsidR="003575C1" w:rsidRPr="00774649" w:rsidRDefault="003575C1" w:rsidP="003575C1">
      <w:pPr>
        <w:jc w:val="both"/>
        <w:rPr>
          <w:rFonts w:cstheme="minorHAnsi"/>
          <w:color w:val="FF0000"/>
        </w:rPr>
      </w:pPr>
    </w:p>
    <w:p w14:paraId="68BB6034" w14:textId="77777777" w:rsidR="003575C1" w:rsidRPr="00774649" w:rsidRDefault="003575C1" w:rsidP="003575C1">
      <w:pPr>
        <w:shd w:val="clear" w:color="auto" w:fill="FFFFFF"/>
        <w:jc w:val="both"/>
        <w:rPr>
          <w:rFonts w:cstheme="minorHAnsi"/>
          <w:color w:val="222222"/>
        </w:rPr>
      </w:pPr>
      <w:r w:rsidRPr="00774649">
        <w:rPr>
          <w:rFonts w:cstheme="minorHAnsi"/>
          <w:color w:val="222222"/>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11" w:tgtFrame="_blank" w:history="1">
        <w:r w:rsidRPr="00774649">
          <w:rPr>
            <w:rFonts w:cstheme="minorHAnsi"/>
            <w:color w:val="0563C1" w:themeColor="hyperlink"/>
            <w:u w:val="single"/>
          </w:rPr>
          <w:t>2015-Present</w:t>
        </w:r>
      </w:hyperlink>
      <w:r w:rsidRPr="00774649">
        <w:rPr>
          <w:rFonts w:cstheme="minorHAnsi"/>
          <w:color w:val="222222"/>
        </w:rPr>
        <w:t>, September 1, </w:t>
      </w:r>
      <w:hyperlink r:id="rId12" w:tgtFrame="_blank" w:history="1">
        <w:r w:rsidRPr="00774649">
          <w:rPr>
            <w:rFonts w:cstheme="minorHAnsi"/>
            <w:color w:val="0563C1" w:themeColor="hyperlink"/>
            <w:u w:val="single"/>
          </w:rPr>
          <w:t>2007-2015</w:t>
        </w:r>
      </w:hyperlink>
      <w:r w:rsidRPr="00774649">
        <w:rPr>
          <w:rFonts w:cstheme="minorHAnsi"/>
          <w:color w:val="222222"/>
        </w:rPr>
        <w:t>, February 1, </w:t>
      </w:r>
      <w:hyperlink r:id="rId13" w:tgtFrame="_blank" w:history="1">
        <w:r w:rsidRPr="00774649">
          <w:rPr>
            <w:rFonts w:cstheme="minorHAnsi"/>
            <w:color w:val="0563C1" w:themeColor="hyperlink"/>
            <w:u w:val="single"/>
          </w:rPr>
          <w:t>1999-2007</w:t>
        </w:r>
      </w:hyperlink>
      <w:r w:rsidRPr="00774649">
        <w:rPr>
          <w:rFonts w:cstheme="minorHAnsi"/>
          <w:color w:val="222222"/>
        </w:rPr>
        <w:t> or October 1, </w:t>
      </w:r>
      <w:hyperlink r:id="rId14" w:tgtFrame="_blank" w:history="1">
        <w:r w:rsidRPr="00774649">
          <w:rPr>
            <w:rFonts w:cstheme="minorHAnsi"/>
            <w:color w:val="0563C1" w:themeColor="hyperlink"/>
            <w:u w:val="single"/>
          </w:rPr>
          <w:t>1993-1999</w:t>
        </w:r>
      </w:hyperlink>
      <w:r w:rsidRPr="00774649">
        <w:rPr>
          <w:rFonts w:cstheme="minorHAnsi"/>
          <w:color w:val="222222"/>
        </w:rPr>
        <w:t>), </w:t>
      </w:r>
      <w:hyperlink r:id="rId15" w:tgtFrame="_blank" w:history="1">
        <w:r w:rsidRPr="00774649">
          <w:rPr>
            <w:rFonts w:cstheme="minorHAnsi"/>
            <w:color w:val="0563C1" w:themeColor="hyperlink"/>
            <w:u w:val="single"/>
          </w:rPr>
          <w:t>1 CCR 301-26 Operation Maintenance and Annual Inspection of School Transportation Vehicles</w:t>
        </w:r>
      </w:hyperlink>
      <w:r w:rsidRPr="00774649">
        <w:rPr>
          <w:rFonts w:cstheme="minorHAnsi"/>
          <w:color w:val="222222"/>
        </w:rPr>
        <w:t>, </w:t>
      </w:r>
      <w:r w:rsidRPr="00774649">
        <w:rPr>
          <w:rFonts w:cstheme="minorHAnsi"/>
          <w:color w:val="333333"/>
        </w:rPr>
        <w:t>and</w:t>
      </w:r>
      <w:r w:rsidRPr="00774649">
        <w:rPr>
          <w:rFonts w:cstheme="minorHAnsi"/>
          <w:color w:val="222222"/>
        </w:rPr>
        <w:t> </w:t>
      </w:r>
      <w:hyperlink r:id="rId16" w:tgtFrame="_blank" w:history="1">
        <w:r w:rsidRPr="00774649">
          <w:rPr>
            <w:rFonts w:cstheme="minorHAnsi"/>
            <w:color w:val="0563C1" w:themeColor="hyperlink"/>
            <w:u w:val="single"/>
          </w:rPr>
          <w:t>Rules for the Administration of the Public School Transportation Fund</w:t>
        </w:r>
      </w:hyperlink>
      <w:r w:rsidRPr="00774649">
        <w:rPr>
          <w:rFonts w:cstheme="minorHAnsi"/>
          <w:color w:val="333333"/>
        </w:rPr>
        <w:t> (CCR 301-14) and guidance. </w:t>
      </w:r>
      <w:r w:rsidRPr="00774649">
        <w:rPr>
          <w:rFonts w:cstheme="minorHAnsi"/>
          <w:color w:val="222222"/>
        </w:rPr>
        <w:t>Additionally, CDE Schools of Choice will require sub-grantees requesting these funds to establish contact with the Transportation office at CDE to receive authorization on any purchases before purchases are made or grant funding is released, provide a multi-year transportation and maintenance budget, and comply with any additional and all necessary technical assistance trainings. This information may be requested during a monitoring desk review, visit and/or reporting period.</w:t>
      </w:r>
    </w:p>
    <w:p w14:paraId="77668B52" w14:textId="77777777" w:rsidR="003575C1" w:rsidRPr="00774649" w:rsidRDefault="003575C1" w:rsidP="003575C1">
      <w:pPr>
        <w:shd w:val="clear" w:color="auto" w:fill="FFFFFF"/>
        <w:jc w:val="both"/>
        <w:rPr>
          <w:rFonts w:cstheme="minorHAnsi"/>
          <w:color w:val="222222"/>
        </w:rPr>
      </w:pPr>
    </w:p>
    <w:p w14:paraId="33FBC03A" w14:textId="77777777" w:rsidR="003575C1" w:rsidRPr="00774649" w:rsidRDefault="003575C1" w:rsidP="003575C1">
      <w:pPr>
        <w:shd w:val="clear" w:color="auto" w:fill="FFFFFF"/>
        <w:jc w:val="both"/>
        <w:rPr>
          <w:rFonts w:cstheme="minorHAnsi"/>
          <w:color w:val="222222"/>
        </w:rPr>
      </w:pPr>
      <w:r w:rsidRPr="00774649">
        <w:rPr>
          <w:rFonts w:cstheme="minorHAnsi"/>
          <w:color w:val="222222"/>
        </w:rPr>
        <w:t xml:space="preserve">CDE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a high-quality charter schools and </w:t>
      </w:r>
      <w:r w:rsidRPr="00774649">
        <w:rPr>
          <w:rFonts w:cstheme="minorHAnsi"/>
          <w:color w:val="222222"/>
        </w:rPr>
        <w:lastRenderedPageBreak/>
        <w:t>authorizers will become better able to understand how to find a path for public charter schools to offer transportation services to students.</w:t>
      </w:r>
    </w:p>
    <w:p w14:paraId="5C0A393A" w14:textId="77777777" w:rsidR="003575C1" w:rsidRPr="00774649" w:rsidRDefault="003575C1" w:rsidP="003575C1">
      <w:pPr>
        <w:shd w:val="clear" w:color="auto" w:fill="FFFFFF"/>
        <w:jc w:val="both"/>
        <w:rPr>
          <w:rFonts w:cstheme="minorHAnsi"/>
          <w:color w:val="222222"/>
        </w:rPr>
      </w:pPr>
    </w:p>
    <w:p w14:paraId="0F423CD7" w14:textId="77777777" w:rsidR="003575C1" w:rsidRPr="00774649" w:rsidRDefault="003575C1" w:rsidP="003575C1">
      <w:pPr>
        <w:shd w:val="clear" w:color="auto" w:fill="FFFFFF"/>
        <w:jc w:val="both"/>
        <w:rPr>
          <w:rFonts w:cstheme="minorHAnsi"/>
          <w:color w:val="222222"/>
        </w:rPr>
      </w:pPr>
      <w:r w:rsidRPr="00774649">
        <w:rPr>
          <w:rFonts w:cstheme="minorHAnsi"/>
          <w:color w:val="222222"/>
        </w:rPr>
        <w:t>CDE Schools of Choice will work with grant applicants and their districts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CCSP application.</w:t>
      </w:r>
    </w:p>
    <w:p w14:paraId="7B24C49E" w14:textId="77777777" w:rsidR="003575C1" w:rsidRPr="00774649" w:rsidRDefault="003575C1" w:rsidP="003575C1">
      <w:pPr>
        <w:shd w:val="clear" w:color="auto" w:fill="FFFFFF"/>
        <w:jc w:val="both"/>
        <w:rPr>
          <w:rFonts w:cstheme="minorHAnsi"/>
          <w:color w:val="222222"/>
        </w:rPr>
      </w:pPr>
    </w:p>
    <w:p w14:paraId="4C97CA4C" w14:textId="77777777" w:rsidR="003575C1" w:rsidRPr="00774649" w:rsidRDefault="003575C1" w:rsidP="003575C1">
      <w:pPr>
        <w:shd w:val="clear" w:color="auto" w:fill="FFFFFF"/>
        <w:jc w:val="both"/>
        <w:rPr>
          <w:rFonts w:cstheme="minorHAnsi"/>
          <w:color w:val="222222"/>
        </w:rPr>
      </w:pPr>
      <w:r w:rsidRPr="00774649">
        <w:rPr>
          <w:rFonts w:cstheme="minorHAnsi"/>
          <w:color w:val="222222"/>
        </w:rPr>
        <w:t>Criteria – CDE will use the following criteria for determining whether a proposed transportation expense is allowable under the CCSP grant:</w:t>
      </w:r>
    </w:p>
    <w:p w14:paraId="7638AAD6"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 xml:space="preserve">Total annual expenses on transportation item </w:t>
      </w:r>
      <w:proofErr w:type="gramStart"/>
      <w:r w:rsidRPr="00774649">
        <w:rPr>
          <w:rFonts w:cstheme="minorHAnsi"/>
          <w:color w:val="222222"/>
        </w:rPr>
        <w:t>is</w:t>
      </w:r>
      <w:proofErr w:type="gramEnd"/>
      <w:r w:rsidRPr="00774649">
        <w:rPr>
          <w:rFonts w:cstheme="minorHAnsi"/>
          <w:color w:val="222222"/>
        </w:rPr>
        <w:t xml:space="preserve"> not to exceed 25% of annual grant award and only for the acquisition of a bus. </w:t>
      </w:r>
    </w:p>
    <w:p w14:paraId="76FEBCCA"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The school will provide annual reports on the status of the bus including evidence of proper record keeping, inventory, serial # and maintenance.</w:t>
      </w:r>
    </w:p>
    <w:p w14:paraId="259D84B3"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 xml:space="preserve">Identified cost of a bus will be evaluated by CDE Transportation Unit to determine whether identified cost is a reasonable cost for the bus </w:t>
      </w:r>
      <w:r w:rsidRPr="00774649">
        <w:rPr>
          <w:rFonts w:cstheme="minorHAnsi"/>
          <w:b/>
          <w:color w:val="222222"/>
        </w:rPr>
        <w:t>before a purchase would be allowed</w:t>
      </w:r>
      <w:r w:rsidRPr="00774649">
        <w:rPr>
          <w:rFonts w:cstheme="minorHAnsi"/>
          <w:color w:val="222222"/>
        </w:rPr>
        <w:t>.</w:t>
      </w:r>
    </w:p>
    <w:p w14:paraId="26F88F7C"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Primary goals of the grant are clearly met and not compromised based on expenditures made related to transportation costs.</w:t>
      </w:r>
    </w:p>
    <w:p w14:paraId="28A55453"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The school will provide a transportation goal and write a measure and metric to report on related to that goal.</w:t>
      </w:r>
    </w:p>
    <w:p w14:paraId="69A0CA8B"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The school will provide an update in their annual report on their transportation plan and effectiveness of the plan.</w:t>
      </w:r>
    </w:p>
    <w:p w14:paraId="588720E5"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School will provide an assurance that funds used are clearly associated as a cost that is a one-time cost to the school.</w:t>
      </w:r>
    </w:p>
    <w:p w14:paraId="5305C855"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Consideration of management of recurring transportation costs.</w:t>
      </w:r>
    </w:p>
    <w:p w14:paraId="1FE3483C"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Schools will be asked to complete a budget template that allows them to demonstrate an understanding of what reasonable cost assumptions look like over a five-year period for managing transportation expenses and how these costs will be incorporated into a long-term sustainable operational budget for the school.</w:t>
      </w:r>
    </w:p>
    <w:p w14:paraId="6D56FA17" w14:textId="77777777" w:rsidR="003575C1" w:rsidRPr="00774649" w:rsidRDefault="003575C1" w:rsidP="003575C1">
      <w:pPr>
        <w:pStyle w:val="ListParagraph"/>
        <w:numPr>
          <w:ilvl w:val="0"/>
          <w:numId w:val="178"/>
        </w:numPr>
        <w:shd w:val="clear" w:color="auto" w:fill="FFFFFF"/>
        <w:spacing w:before="60"/>
        <w:contextualSpacing w:val="0"/>
        <w:rPr>
          <w:rFonts w:cstheme="minorHAnsi"/>
          <w:color w:val="222222"/>
        </w:rPr>
      </w:pPr>
      <w:r w:rsidRPr="00774649">
        <w:rPr>
          <w:rFonts w:cstheme="minorHAnsi"/>
          <w:color w:val="222222"/>
        </w:rPr>
        <w:t>As with other assurances, state will not fund recurring costs in the grant.</w:t>
      </w:r>
    </w:p>
    <w:p w14:paraId="3CC52B75" w14:textId="77777777" w:rsidR="003575C1" w:rsidRPr="00774649" w:rsidRDefault="003575C1" w:rsidP="003575C1">
      <w:pPr>
        <w:rPr>
          <w:rFonts w:cstheme="minorHAnsi"/>
        </w:rPr>
      </w:pPr>
    </w:p>
    <w:p w14:paraId="7320FEF1" w14:textId="77777777" w:rsidR="003575C1" w:rsidRPr="00774649" w:rsidRDefault="003575C1" w:rsidP="003575C1">
      <w:pPr>
        <w:pStyle w:val="Heading8"/>
        <w:spacing w:line="240" w:lineRule="auto"/>
        <w:contextualSpacing/>
        <w:rPr>
          <w:rFonts w:cstheme="minorHAnsi"/>
        </w:rPr>
      </w:pPr>
      <w:r w:rsidRPr="00774649">
        <w:rPr>
          <w:rFonts w:cstheme="minorHAnsi"/>
        </w:rPr>
        <w:t>Facilities</w:t>
      </w:r>
    </w:p>
    <w:p w14:paraId="53E162C7" w14:textId="77777777" w:rsidR="003575C1" w:rsidRPr="00774649" w:rsidRDefault="003575C1" w:rsidP="003575C1">
      <w:pPr>
        <w:jc w:val="both"/>
        <w:rPr>
          <w:rFonts w:cstheme="minorHAnsi"/>
          <w:color w:val="auto"/>
        </w:rPr>
      </w:pPr>
      <w:r w:rsidRPr="00774649">
        <w:rPr>
          <w:rFonts w:cstheme="minorHAnsi"/>
          <w:color w:val="auto"/>
        </w:rPr>
        <w:t>Section 4303(h)(3) of the ESEA, grantees or sub-grantees may use federal CSP funds to carry out “necessary renovations to ensure that a new school building complies with applicable statutes and regulations, and minor facility repairs (excluding construction).”</w:t>
      </w:r>
    </w:p>
    <w:p w14:paraId="0897569F" w14:textId="77777777" w:rsidR="003575C1" w:rsidRPr="00774649" w:rsidRDefault="003575C1" w:rsidP="003575C1">
      <w:pPr>
        <w:pStyle w:val="ListParagraph"/>
        <w:numPr>
          <w:ilvl w:val="0"/>
          <w:numId w:val="175"/>
        </w:numPr>
        <w:spacing w:before="60"/>
        <w:ind w:left="720"/>
        <w:contextualSpacing w:val="0"/>
        <w:rPr>
          <w:rFonts w:cstheme="minorHAnsi"/>
        </w:rPr>
      </w:pPr>
      <w:r w:rsidRPr="00774649">
        <w:rPr>
          <w:rFonts w:cstheme="minorHAnsi"/>
        </w:rPr>
        <w:t xml:space="preserve">“New Flexibilities under the Every Student Succeeds </w:t>
      </w:r>
      <w:proofErr w:type="gramStart"/>
      <w:r w:rsidRPr="00774649">
        <w:rPr>
          <w:rFonts w:cstheme="minorHAnsi"/>
        </w:rPr>
        <w:t>Act“ Frequently</w:t>
      </w:r>
      <w:proofErr w:type="gramEnd"/>
      <w:r w:rsidRPr="00774649">
        <w:rPr>
          <w:rFonts w:cstheme="minorHAnsi"/>
        </w:rPr>
        <w:t xml:space="preserve"> Asked Questions (December 2017) </w:t>
      </w:r>
      <w:hyperlink r:id="rId17" w:history="1">
        <w:r w:rsidRPr="00774649">
          <w:rPr>
            <w:rStyle w:val="Hyperlink"/>
            <w:rFonts w:cstheme="minorHAnsi"/>
          </w:rPr>
          <w:t>PDF</w:t>
        </w:r>
      </w:hyperlink>
      <w:r w:rsidRPr="00774649">
        <w:rPr>
          <w:rFonts w:cstheme="minorHAnsi"/>
        </w:rPr>
        <w:t>.</w:t>
      </w:r>
    </w:p>
    <w:p w14:paraId="30E2BB93" w14:textId="77777777" w:rsidR="003575C1" w:rsidRPr="00774649" w:rsidRDefault="003575C1" w:rsidP="003575C1">
      <w:pPr>
        <w:pStyle w:val="ListParagraph"/>
        <w:numPr>
          <w:ilvl w:val="0"/>
          <w:numId w:val="175"/>
        </w:numPr>
        <w:spacing w:before="60"/>
        <w:ind w:left="720"/>
        <w:contextualSpacing w:val="0"/>
        <w:rPr>
          <w:rFonts w:cstheme="minorHAnsi"/>
          <w:color w:val="FF0000"/>
        </w:rPr>
      </w:pPr>
      <w:r w:rsidRPr="00774649">
        <w:rPr>
          <w:rFonts w:cstheme="minorHAnsi"/>
          <w:lang w:val="x-none"/>
        </w:rPr>
        <w:t xml:space="preserve">ESSA Flexibility </w:t>
      </w:r>
      <w:r w:rsidRPr="00774649">
        <w:rPr>
          <w:rFonts w:cstheme="minorHAnsi"/>
          <w:color w:val="auto"/>
          <w:lang w:val="x-none"/>
        </w:rPr>
        <w:t xml:space="preserve">Webinar </w:t>
      </w:r>
      <w:hyperlink r:id="rId18" w:history="1">
        <w:r w:rsidRPr="00774649">
          <w:rPr>
            <w:rStyle w:val="Hyperlink"/>
            <w:rFonts w:cstheme="minorHAnsi"/>
            <w:color w:val="auto"/>
            <w:lang w:val="x-none"/>
          </w:rPr>
          <w:t>Slides</w:t>
        </w:r>
      </w:hyperlink>
      <w:r w:rsidRPr="00774649">
        <w:rPr>
          <w:rStyle w:val="Hyperlink"/>
          <w:rFonts w:cstheme="minorHAnsi"/>
          <w:color w:val="auto"/>
        </w:rPr>
        <w:t xml:space="preserve"> (November 2018) </w:t>
      </w:r>
      <w:hyperlink r:id="rId19" w:history="1">
        <w:r w:rsidRPr="00774649">
          <w:rPr>
            <w:rStyle w:val="Hyperlink"/>
            <w:rFonts w:cstheme="minorHAnsi"/>
          </w:rPr>
          <w:t>PDF</w:t>
        </w:r>
      </w:hyperlink>
      <w:r w:rsidRPr="00774649">
        <w:rPr>
          <w:rStyle w:val="Hyperlink"/>
          <w:rFonts w:cstheme="minorHAnsi"/>
          <w:color w:val="auto"/>
        </w:rPr>
        <w:t>.</w:t>
      </w:r>
    </w:p>
    <w:p w14:paraId="0542B785" w14:textId="77777777" w:rsidR="003575C1" w:rsidRPr="00774649" w:rsidRDefault="003575C1" w:rsidP="003575C1">
      <w:pPr>
        <w:jc w:val="both"/>
        <w:rPr>
          <w:rFonts w:cstheme="minorHAnsi"/>
        </w:rPr>
      </w:pPr>
    </w:p>
    <w:p w14:paraId="6B8716DF" w14:textId="77777777" w:rsidR="003575C1" w:rsidRPr="00774649" w:rsidRDefault="003575C1" w:rsidP="003575C1">
      <w:pPr>
        <w:jc w:val="both"/>
        <w:rPr>
          <w:rFonts w:cstheme="minorHAnsi"/>
        </w:rPr>
      </w:pPr>
      <w:r w:rsidRPr="00774649">
        <w:rPr>
          <w:rFonts w:cstheme="minorHAnsi"/>
        </w:rPr>
        <w:t xml:space="preserve">Examples of “minor facilities repairs” under ESEA § 4303(h)(3) include: repairing a leak in a roof, replacing a broken window, and repairing a furnace or air conditioning unit. In essence, minor facility repairs neither add to the permanent value of the property nor appreciably prolong its intended life, but rather, keep it in efficient operating condition </w:t>
      </w:r>
    </w:p>
    <w:p w14:paraId="388553A3" w14:textId="77777777" w:rsidR="003575C1" w:rsidRPr="00774649" w:rsidRDefault="003575C1" w:rsidP="003575C1">
      <w:pPr>
        <w:jc w:val="both"/>
        <w:rPr>
          <w:rFonts w:cstheme="minorHAnsi"/>
        </w:rPr>
      </w:pPr>
    </w:p>
    <w:p w14:paraId="6DE659F8" w14:textId="77777777" w:rsidR="003575C1" w:rsidRPr="00774649" w:rsidRDefault="003575C1" w:rsidP="003575C1">
      <w:pPr>
        <w:jc w:val="both"/>
        <w:rPr>
          <w:rFonts w:cstheme="minorHAnsi"/>
          <w:color w:val="auto"/>
        </w:rPr>
      </w:pPr>
      <w:r w:rsidRPr="00774649">
        <w:rPr>
          <w:rFonts w:cstheme="minorHAnsi"/>
          <w:color w:val="auto"/>
        </w:rPr>
        <w:t xml:space="preserve">Under UGG </w:t>
      </w:r>
      <w:r w:rsidRPr="00774649">
        <w:rPr>
          <w:rFonts w:cstheme="minorHAnsi"/>
        </w:rPr>
        <w:t>§</w:t>
      </w:r>
      <w:r w:rsidRPr="00774649">
        <w:rPr>
          <w:rFonts w:cstheme="minorHAnsi"/>
          <w:color w:val="auto"/>
        </w:rPr>
        <w:t xml:space="preserve"> 200.13,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proofErr w:type="gramStart"/>
      <w:r w:rsidRPr="00774649">
        <w:rPr>
          <w:rFonts w:cstheme="minorHAnsi"/>
          <w:color w:val="auto"/>
        </w:rPr>
        <w:t>In order to</w:t>
      </w:r>
      <w:proofErr w:type="gramEnd"/>
      <w:r w:rsidRPr="00774649">
        <w:rPr>
          <w:rFonts w:cstheme="minorHAnsi"/>
          <w:color w:val="auto"/>
        </w:rPr>
        <w:t xml:space="preserve"> charge a capital expenditure to the CSP grant or sub-grant, the grantee or sub-grantee must obtain </w:t>
      </w:r>
      <w:r w:rsidRPr="00774649">
        <w:rPr>
          <w:rFonts w:cstheme="minorHAnsi"/>
          <w:color w:val="auto"/>
        </w:rPr>
        <w:lastRenderedPageBreak/>
        <w:t>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3916836B" w14:textId="77777777" w:rsidR="003575C1" w:rsidRPr="00774649" w:rsidRDefault="003575C1" w:rsidP="003575C1">
      <w:pPr>
        <w:jc w:val="both"/>
        <w:rPr>
          <w:rFonts w:cstheme="minorHAnsi"/>
          <w:color w:val="auto"/>
        </w:rPr>
      </w:pPr>
    </w:p>
    <w:p w14:paraId="2FBC7152" w14:textId="77777777" w:rsidR="003575C1" w:rsidRPr="00774649" w:rsidRDefault="003575C1" w:rsidP="003575C1">
      <w:pPr>
        <w:jc w:val="both"/>
        <w:rPr>
          <w:rFonts w:cstheme="minorHAnsi"/>
        </w:rPr>
      </w:pPr>
      <w:r w:rsidRPr="00774649">
        <w:rPr>
          <w:rFonts w:cstheme="minorHAnsi"/>
        </w:rPr>
        <w:t xml:space="preserve">As stated above, sub-grantees may use CCSP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w:t>
      </w:r>
      <w:proofErr w:type="gramStart"/>
      <w:r w:rsidRPr="00774649">
        <w:rPr>
          <w:rFonts w:cstheme="minorHAnsi"/>
        </w:rPr>
        <w:t>actually required</w:t>
      </w:r>
      <w:proofErr w:type="gramEnd"/>
      <w:r w:rsidRPr="00774649">
        <w:rPr>
          <w:rFonts w:cstheme="minorHAnsi"/>
        </w:rPr>
        <w:t xml:space="preserve"> by a statute or regulation (i.e., not simply suggested or proposed), including the source and citation for the specific compliance requirement and the consequences for non-compliance. In determining whether the cost of a proposed renovation is “necessary and reasonable,” CDE encourages sub-grantees to consider, and to explain in their amendment requests, the following:</w:t>
      </w:r>
    </w:p>
    <w:p w14:paraId="6B541B45" w14:textId="77777777" w:rsidR="003575C1" w:rsidRPr="00774649" w:rsidRDefault="003575C1" w:rsidP="003575C1">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renovation is necessary for the performance of the grant.</w:t>
      </w:r>
    </w:p>
    <w:p w14:paraId="14A72705" w14:textId="77777777" w:rsidR="003575C1" w:rsidRPr="00774649" w:rsidRDefault="003575C1" w:rsidP="003575C1">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 of the renovation (e.g., materials and labor) is commensurate with the market rate for such goods and services.</w:t>
      </w:r>
    </w:p>
    <w:p w14:paraId="6B90B585" w14:textId="77777777" w:rsidR="003575C1" w:rsidRPr="00774649" w:rsidRDefault="003575C1" w:rsidP="003575C1">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dollar size of the CSP grant allocated to the charter school.</w:t>
      </w:r>
    </w:p>
    <w:p w14:paraId="29908CD4" w14:textId="77777777" w:rsidR="003575C1" w:rsidRPr="00774649" w:rsidRDefault="003575C1" w:rsidP="003575C1">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The relative cost of the renovation calculated as a percentage of the overall cost basis of the underlying property.</w:t>
      </w:r>
    </w:p>
    <w:p w14:paraId="29776EDE" w14:textId="77777777" w:rsidR="003575C1" w:rsidRPr="00774649" w:rsidRDefault="003575C1" w:rsidP="003575C1">
      <w:pPr>
        <w:tabs>
          <w:tab w:val="left" w:pos="720"/>
        </w:tabs>
        <w:spacing w:before="60"/>
        <w:ind w:left="720" w:hanging="360"/>
        <w:contextualSpacing w:val="0"/>
        <w:rPr>
          <w:rFonts w:cstheme="minorHAnsi"/>
        </w:rPr>
      </w:pPr>
      <w:r w:rsidRPr="00774649">
        <w:rPr>
          <w:rFonts w:cstheme="minorHAnsi"/>
        </w:rPr>
        <w:t xml:space="preserve">• </w:t>
      </w:r>
      <w:r w:rsidRPr="00774649">
        <w:rPr>
          <w:rFonts w:cstheme="minorHAnsi"/>
        </w:rPr>
        <w:tab/>
        <w:t>Whether the costs are non-sustained (i.e., “one-time” costs associated with the startup or expansion of the charter school).</w:t>
      </w:r>
    </w:p>
    <w:p w14:paraId="65E509EC" w14:textId="77777777" w:rsidR="003575C1" w:rsidRPr="00774649" w:rsidRDefault="003575C1" w:rsidP="003575C1">
      <w:pPr>
        <w:rPr>
          <w:rFonts w:cstheme="minorHAnsi"/>
        </w:rPr>
      </w:pPr>
    </w:p>
    <w:p w14:paraId="1EBA8352" w14:textId="77777777" w:rsidR="003575C1" w:rsidRPr="00774649" w:rsidRDefault="003575C1" w:rsidP="003575C1">
      <w:pPr>
        <w:rPr>
          <w:rFonts w:cstheme="minorHAnsi"/>
          <w:b/>
        </w:rPr>
      </w:pPr>
      <w:r w:rsidRPr="00774649">
        <w:rPr>
          <w:rFonts w:cstheme="minorHAnsi"/>
          <w:b/>
        </w:rPr>
        <w:t>Example 1 - ALLOWABLE</w:t>
      </w:r>
    </w:p>
    <w:p w14:paraId="744C996F" w14:textId="77777777" w:rsidR="003575C1" w:rsidRPr="00774649" w:rsidRDefault="003575C1" w:rsidP="003575C1">
      <w:pPr>
        <w:spacing w:before="120"/>
        <w:ind w:left="360"/>
        <w:contextualSpacing w:val="0"/>
        <w:rPr>
          <w:rFonts w:cstheme="minorHAnsi"/>
        </w:rPr>
      </w:pPr>
      <w:r w:rsidRPr="00774649">
        <w:rPr>
          <w:rFonts w:cstheme="minorHAnsi"/>
        </w:rPr>
        <w:t>Allowable: A charter school is required under a Federal or State statute (e.g., the Americans with Disabilities Act (ADA)) to provide accessibility in the form of an elevator; without it, the school will not be permitted to operate. To comply, the charter school requests approval to amend its approved application to use $50,000 of its $900,000 CSP grant for expenditures it will incur (such as engineering drawings, labor, equipment, and materials) to install an elevator in its building that has a cost basis of $1 million. Assuming the cost of installing the elevator is reasonable and the proposed amendment to the approved application does not result in a substantial change in the scope or objectives of the grant, then the $50,000 renovation cost appears to be allowable, as 1) installation of the elevator is necessary to comply with a statute or regulation (i.e., the ADA); 2) the expenditure is necessary for the performance of the grant (i.e., opening and operating a new charter school); and 3) the renovation cost is reasonable insofar as it represents only 5.6 percent of the overall size of the grant and only 5-6 percent of the current cost basis of the real property (prior to the renovation) and, therefore, does not represent a significant grant expenditure under the grant project budget or in the context of the overall dollar cost of the real property.</w:t>
      </w:r>
    </w:p>
    <w:p w14:paraId="39A71D74" w14:textId="77777777" w:rsidR="003575C1" w:rsidRPr="00774649" w:rsidRDefault="003575C1" w:rsidP="003575C1">
      <w:pPr>
        <w:rPr>
          <w:rFonts w:cstheme="minorHAnsi"/>
          <w:b/>
        </w:rPr>
      </w:pPr>
    </w:p>
    <w:p w14:paraId="5B21B4CB" w14:textId="77777777" w:rsidR="003575C1" w:rsidRPr="00774649" w:rsidRDefault="003575C1" w:rsidP="003575C1">
      <w:pPr>
        <w:rPr>
          <w:rFonts w:cstheme="minorHAnsi"/>
          <w:b/>
        </w:rPr>
      </w:pPr>
      <w:r w:rsidRPr="00774649">
        <w:rPr>
          <w:rFonts w:cstheme="minorHAnsi"/>
          <w:b/>
        </w:rPr>
        <w:t xml:space="preserve">Example 2 - </w:t>
      </w:r>
      <w:r w:rsidRPr="00774649">
        <w:rPr>
          <w:rFonts w:cstheme="minorHAnsi"/>
          <w:b/>
          <w:caps/>
        </w:rPr>
        <w:t>Unallowable</w:t>
      </w:r>
    </w:p>
    <w:p w14:paraId="3721BECA" w14:textId="77777777" w:rsidR="003575C1" w:rsidRPr="00774649" w:rsidRDefault="003575C1" w:rsidP="003575C1">
      <w:pPr>
        <w:spacing w:before="120"/>
        <w:ind w:left="360"/>
        <w:contextualSpacing w:val="0"/>
        <w:rPr>
          <w:rFonts w:cstheme="minorHAnsi"/>
        </w:rPr>
      </w:pPr>
      <w:r w:rsidRPr="00774649">
        <w:rPr>
          <w:rFonts w:cstheme="minorHAnsi"/>
        </w:rPr>
        <w:t xml:space="preserve">A charter school requests approval to amend its approved application to use $250,000 of CSP grant funds to acquire commercial real property (a land parcel with a former warehouse) and renovate it for use as a permanent school facility for the charter school. In this scenario, the charter school may not use any CSP funds to acquire the property, as the acquisition of the property represents an unallowable capital expenditure for real property (34 CFR 75.533). Nor may the charter school use CSP funds to renovate the facility, unless the charter school can show that the renovations are “necessary” to ensure that the building complies with a specific statute or regulation (e.g., a </w:t>
      </w:r>
      <w:proofErr w:type="gramStart"/>
      <w:r w:rsidRPr="00774649">
        <w:rPr>
          <w:rFonts w:cstheme="minorHAnsi"/>
        </w:rPr>
        <w:t>State</w:t>
      </w:r>
      <w:proofErr w:type="gramEnd"/>
      <w:r w:rsidRPr="00774649">
        <w:rPr>
          <w:rFonts w:cstheme="minorHAnsi"/>
        </w:rPr>
        <w:t xml:space="preserve"> safety regulation requiring installation of a sprinkler system). In such a case, the charter school also must demonstrate that the cost for the renovation is necessary, reasonable, and allocable to the </w:t>
      </w:r>
      <w:r w:rsidRPr="00774649">
        <w:rPr>
          <w:rFonts w:cstheme="minorHAnsi"/>
        </w:rPr>
        <w:lastRenderedPageBreak/>
        <w:t>grant (2 CFR 200.403(a)). Further, if the renovation would result in a material increase in the value or useful life of the property, then the cost for the renovation would qualify as a “capital expenditure,” and the charter school would be required to obtain prior written approval from the Department or, in the case of a charter school sub-grantee, the SEA (UGG at 2 CFR 200.12, 200.13, 200.329, and 200.439).</w:t>
      </w:r>
    </w:p>
    <w:p w14:paraId="24A12C91" w14:textId="77777777" w:rsidR="003575C1" w:rsidRPr="00774649" w:rsidRDefault="003575C1" w:rsidP="003575C1">
      <w:pPr>
        <w:pStyle w:val="ListParagraph"/>
        <w:rPr>
          <w:rFonts w:cstheme="minorHAnsi"/>
        </w:rPr>
      </w:pPr>
    </w:p>
    <w:p w14:paraId="563780B4" w14:textId="77777777" w:rsidR="003575C1" w:rsidRPr="00774649" w:rsidRDefault="003575C1" w:rsidP="003575C1">
      <w:pPr>
        <w:jc w:val="both"/>
        <w:rPr>
          <w:rFonts w:cstheme="minorHAnsi"/>
        </w:rPr>
      </w:pPr>
      <w:r w:rsidRPr="00774649">
        <w:rPr>
          <w:rFonts w:cstheme="minorHAnsi"/>
        </w:rPr>
        <w:t xml:space="preserve">A sub-grantee may use CCSP funds to acquire portable classrooms, provided that the classrooms are </w:t>
      </w:r>
      <w:r w:rsidRPr="00774649">
        <w:rPr>
          <w:rFonts w:cstheme="minorHAnsi"/>
          <w:b/>
        </w:rPr>
        <w:t>temporary</w:t>
      </w:r>
      <w:r w:rsidRPr="00774649">
        <w:rPr>
          <w:rFonts w:cstheme="minorHAnsi"/>
        </w:rPr>
        <w:t xml:space="preserve"> and directly related to opening or preparing for the operation of a new charter school or replicated high-quality charter school or expanding a high-quality charter school (see section 4303(b)(1) of the ESEA). In accordance with the cost principles in UGG, acquisition of the portable classrooms also must be necessary, reasonable, and allocable to the grant (2 CFR 200.403-200.405).</w:t>
      </w:r>
    </w:p>
    <w:p w14:paraId="2A5164EA" w14:textId="77777777" w:rsidR="003575C1" w:rsidRPr="00774649" w:rsidRDefault="003575C1" w:rsidP="003575C1">
      <w:pPr>
        <w:jc w:val="both"/>
        <w:rPr>
          <w:rFonts w:cstheme="minorHAnsi"/>
        </w:rPr>
      </w:pPr>
    </w:p>
    <w:p w14:paraId="0F993196" w14:textId="77777777" w:rsidR="003575C1" w:rsidRPr="00774649" w:rsidRDefault="003575C1" w:rsidP="003575C1">
      <w:pPr>
        <w:jc w:val="both"/>
        <w:rPr>
          <w:rFonts w:cstheme="minorHAnsi"/>
        </w:rPr>
      </w:pPr>
      <w:r w:rsidRPr="00774649">
        <w:rPr>
          <w:rFonts w:cstheme="minorHAnsi"/>
        </w:rPr>
        <w:t>A sub-grantee may not use CCSP funds to construct permanent or non-portable classrooms on school property due to the regulatory prohibition against the use of Federal funds for construction (34 CFR 75.533).</w:t>
      </w:r>
    </w:p>
    <w:p w14:paraId="03101366" w14:textId="77777777" w:rsidR="003575C1" w:rsidRPr="00774649" w:rsidRDefault="003575C1" w:rsidP="003575C1">
      <w:pPr>
        <w:jc w:val="both"/>
        <w:rPr>
          <w:rFonts w:cstheme="minorHAnsi"/>
        </w:rPr>
      </w:pPr>
    </w:p>
    <w:p w14:paraId="1AC4E39C" w14:textId="77777777" w:rsidR="003575C1" w:rsidRPr="00774649" w:rsidRDefault="003575C1" w:rsidP="003575C1">
      <w:pPr>
        <w:jc w:val="both"/>
        <w:rPr>
          <w:rFonts w:cstheme="minorHAnsi"/>
        </w:rPr>
      </w:pPr>
      <w:r w:rsidRPr="00774649">
        <w:rPr>
          <w:rFonts w:cstheme="minorHAnsi"/>
        </w:rPr>
        <w:t>Under section 4303(h)(3) of the ESEA, CCSP funds may be used for minor facilities repairs (excluding construction). Examples of minor facilities repairs include repairing a leak in the roof, replacing a broken window, and repairing a furnace or air conditioning unit. In essence, minor facility repairs neither add to the permanent value of the property nor appreciably prolong its intended life, but rather, keep it in efficient operating condition (2 CFR 200.452).</w:t>
      </w:r>
    </w:p>
    <w:p w14:paraId="0E5C89F4" w14:textId="77777777" w:rsidR="003575C1" w:rsidRPr="00774649" w:rsidRDefault="003575C1" w:rsidP="003575C1">
      <w:pPr>
        <w:rPr>
          <w:rFonts w:cstheme="minorHAnsi"/>
        </w:rPr>
      </w:pPr>
    </w:p>
    <w:p w14:paraId="0F251B8D" w14:textId="77777777" w:rsidR="003575C1" w:rsidRPr="00774649" w:rsidRDefault="003575C1" w:rsidP="003575C1">
      <w:pPr>
        <w:pStyle w:val="Heading8"/>
        <w:spacing w:line="240" w:lineRule="auto"/>
        <w:contextualSpacing/>
        <w:rPr>
          <w:rFonts w:cstheme="minorHAnsi"/>
        </w:rPr>
      </w:pPr>
      <w:r w:rsidRPr="00774649">
        <w:rPr>
          <w:rFonts w:cstheme="minorHAnsi"/>
        </w:rPr>
        <w:t>References and Additional Guidance</w:t>
      </w:r>
    </w:p>
    <w:p w14:paraId="1D9EB5C2" w14:textId="77777777" w:rsidR="003575C1" w:rsidRPr="00774649" w:rsidRDefault="003575C1" w:rsidP="003575C1">
      <w:pPr>
        <w:jc w:val="both"/>
        <w:rPr>
          <w:rFonts w:cstheme="minorHAnsi"/>
        </w:rPr>
      </w:pPr>
      <w:r w:rsidRPr="00774649">
        <w:rPr>
          <w:rFonts w:cstheme="minorHAnsi"/>
        </w:rPr>
        <w:t>Additional information and guidance on budgeting, budget revision, and allowable expenses can be found in other CCSP guidance, as well as in the federal January 2014 CSP Nonregulatory Guidance.</w:t>
      </w:r>
    </w:p>
    <w:p w14:paraId="6CAF9C87" w14:textId="77777777" w:rsidR="003575C1" w:rsidRPr="00774649" w:rsidRDefault="003575C1" w:rsidP="003575C1">
      <w:pPr>
        <w:rPr>
          <w:rFonts w:cstheme="minorHAnsi"/>
        </w:rPr>
      </w:pPr>
    </w:p>
    <w:p w14:paraId="2814EB12" w14:textId="77777777" w:rsidR="003575C1" w:rsidRPr="00774649" w:rsidRDefault="003575C1" w:rsidP="003575C1">
      <w:pPr>
        <w:jc w:val="both"/>
        <w:rPr>
          <w:rFonts w:cstheme="minorHAnsi"/>
          <w:highlight w:val="yellow"/>
        </w:rPr>
      </w:pPr>
      <w:r w:rsidRPr="00774649">
        <w:rPr>
          <w:rFonts w:cstheme="minorHAnsi"/>
        </w:rPr>
        <w:t xml:space="preserve">Applicants should also be aware of the following relevant provisions </w:t>
      </w:r>
      <w:hyperlink r:id="rId20" w:history="1">
        <w:r w:rsidRPr="00774649">
          <w:rPr>
            <w:rStyle w:val="Hyperlink"/>
            <w:rFonts w:cstheme="minorHAnsi"/>
          </w:rPr>
          <w:t>2 CFR Part 200 Uniform Administrative Requirements, Cost Principles, and Audit Requirements for Federal Awards</w:t>
        </w:r>
      </w:hyperlink>
      <w:r w:rsidRPr="00774649">
        <w:rPr>
          <w:rFonts w:cstheme="minorHAnsi"/>
        </w:rPr>
        <w:t xml:space="preserve"> and </w:t>
      </w:r>
      <w:hyperlink r:id="rId21" w:history="1">
        <w:r w:rsidRPr="00774649">
          <w:rPr>
            <w:rStyle w:val="Hyperlink"/>
            <w:rFonts w:cstheme="minorHAnsi"/>
          </w:rPr>
          <w:t>Nonregulatory Guidance Student Support and Academic Achievement Programs</w:t>
        </w:r>
      </w:hyperlink>
      <w:r w:rsidRPr="00774649">
        <w:rPr>
          <w:rStyle w:val="Hyperlink"/>
          <w:rFonts w:cstheme="minorHAnsi"/>
        </w:rPr>
        <w:t>.</w:t>
      </w:r>
      <w:r w:rsidRPr="00774649">
        <w:rPr>
          <w:rFonts w:cstheme="minorHAnsi"/>
        </w:rPr>
        <w:t xml:space="preserve"> </w:t>
      </w:r>
    </w:p>
    <w:bookmarkEnd w:id="15"/>
    <w:p w14:paraId="70FB643E" w14:textId="00E3A0BB" w:rsidR="00552333" w:rsidRPr="003575C1" w:rsidRDefault="00552333" w:rsidP="003575C1">
      <w:pPr>
        <w:spacing w:after="160" w:line="259" w:lineRule="auto"/>
        <w:contextualSpacing w:val="0"/>
        <w:rPr>
          <w:b/>
          <w:sz w:val="28"/>
          <w:szCs w:val="28"/>
        </w:rPr>
      </w:pPr>
    </w:p>
    <w:sectPr w:rsidR="00552333" w:rsidRPr="003575C1" w:rsidSect="005A52B1">
      <w:headerReference w:type="even" r:id="rId22"/>
      <w:headerReference w:type="default" r:id="rId23"/>
      <w:headerReference w:type="first" r:id="rId24"/>
      <w:endnotePr>
        <w:numFmt w:val="decimal"/>
      </w:endnotePr>
      <w:type w:val="continuous"/>
      <w:pgSz w:w="12240" w:h="15840" w:code="1"/>
      <w:pgMar w:top="1080" w:right="1440"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9A22" w14:textId="77777777" w:rsidR="001152A6" w:rsidRDefault="001152A6" w:rsidP="00E65C54">
      <w:r>
        <w:separator/>
      </w:r>
    </w:p>
  </w:endnote>
  <w:endnote w:type="continuationSeparator" w:id="0">
    <w:p w14:paraId="1DE2A475" w14:textId="77777777" w:rsidR="001152A6" w:rsidRDefault="001152A6"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78E1" w14:textId="77777777" w:rsidR="001152A6" w:rsidRDefault="001152A6" w:rsidP="00E65C54">
      <w:r>
        <w:separator/>
      </w:r>
    </w:p>
  </w:footnote>
  <w:footnote w:type="continuationSeparator" w:id="0">
    <w:p w14:paraId="1B8CC06F" w14:textId="77777777" w:rsidR="001152A6" w:rsidRDefault="001152A6" w:rsidP="00E6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E330" w14:textId="77777777" w:rsidR="005E166C" w:rsidRDefault="005E166C" w:rsidP="00114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E22A" w14:textId="77777777" w:rsidR="005E166C" w:rsidRDefault="005E166C" w:rsidP="001146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2F3E" w14:textId="77777777" w:rsidR="005E166C" w:rsidRPr="001B020C" w:rsidRDefault="005E166C" w:rsidP="001146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
      </v:shape>
    </w:pict>
  </w:numPicBullet>
  <w:abstractNum w:abstractNumId="0" w15:restartNumberingAfterBreak="0">
    <w:nsid w:val="001A0137"/>
    <w:multiLevelType w:val="hybridMultilevel"/>
    <w:tmpl w:val="98BA92B6"/>
    <w:lvl w:ilvl="0" w:tplc="E1CAB4FA">
      <w:start w:val="1"/>
      <w:numFmt w:val="bullet"/>
      <w:lvlText w:val=""/>
      <w:lvlJc w:val="left"/>
      <w:pPr>
        <w:tabs>
          <w:tab w:val="num" w:pos="921"/>
        </w:tabs>
        <w:ind w:left="921" w:hanging="360"/>
      </w:pPr>
      <w:rPr>
        <w:rFonts w:ascii="Symbol" w:hAnsi="Symbol" w:hint="default"/>
        <w:color w:val="auto"/>
        <w:sz w:val="20"/>
        <w:szCs w:val="20"/>
      </w:rPr>
    </w:lvl>
    <w:lvl w:ilvl="1" w:tplc="04090003" w:tentative="1">
      <w:start w:val="1"/>
      <w:numFmt w:val="bullet"/>
      <w:lvlText w:val="o"/>
      <w:lvlJc w:val="left"/>
      <w:pPr>
        <w:tabs>
          <w:tab w:val="num" w:pos="1641"/>
        </w:tabs>
        <w:ind w:left="1641" w:hanging="360"/>
      </w:pPr>
      <w:rPr>
        <w:rFonts w:ascii="Courier New" w:hAnsi="Courier New" w:cs="Arial"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Arial"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Arial"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B260E5"/>
    <w:multiLevelType w:val="hybridMultilevel"/>
    <w:tmpl w:val="34A620AE"/>
    <w:lvl w:ilvl="0" w:tplc="1BD29B10">
      <w:start w:val="1"/>
      <w:numFmt w:val="decimal"/>
      <w:lvlText w:val="(%1)"/>
      <w:lvlJc w:val="left"/>
      <w:pPr>
        <w:ind w:left="720" w:hanging="504"/>
      </w:pPr>
      <w:rPr>
        <w:rFonts w:ascii="Calibri" w:hAnsi="Calibri" w:cs="Times New Roman" w:hint="default"/>
        <w:b w:val="0"/>
        <w:i w:val="0"/>
        <w:spacing w:val="0"/>
        <w:w w:val="100"/>
        <w:kern w:val="22"/>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814D9F"/>
    <w:multiLevelType w:val="hybridMultilevel"/>
    <w:tmpl w:val="400A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CB6619"/>
    <w:multiLevelType w:val="hybridMultilevel"/>
    <w:tmpl w:val="5EDC89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C86DED"/>
    <w:multiLevelType w:val="hybridMultilevel"/>
    <w:tmpl w:val="CEF29AC2"/>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2501E"/>
    <w:multiLevelType w:val="hybridMultilevel"/>
    <w:tmpl w:val="CA6AEB6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9D234D"/>
    <w:multiLevelType w:val="hybridMultilevel"/>
    <w:tmpl w:val="FF9E1CE8"/>
    <w:lvl w:ilvl="0" w:tplc="B2BAFF0C">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C2F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2D053F"/>
    <w:multiLevelType w:val="hybridMultilevel"/>
    <w:tmpl w:val="D8E2F7C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646707"/>
    <w:multiLevelType w:val="hybridMultilevel"/>
    <w:tmpl w:val="EBE0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E0C27C0"/>
    <w:multiLevelType w:val="hybridMultilevel"/>
    <w:tmpl w:val="04661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63526"/>
    <w:multiLevelType w:val="hybridMultilevel"/>
    <w:tmpl w:val="675A7D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D4133"/>
    <w:multiLevelType w:val="hybridMultilevel"/>
    <w:tmpl w:val="1A127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BB0C8E"/>
    <w:multiLevelType w:val="hybridMultilevel"/>
    <w:tmpl w:val="9850BC10"/>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C1768"/>
    <w:multiLevelType w:val="hybridMultilevel"/>
    <w:tmpl w:val="C8C4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3E771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4749F1"/>
    <w:multiLevelType w:val="hybridMultilevel"/>
    <w:tmpl w:val="0B8422CC"/>
    <w:lvl w:ilvl="0" w:tplc="7708F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7755F6"/>
    <w:multiLevelType w:val="hybridMultilevel"/>
    <w:tmpl w:val="F932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112FB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36566A"/>
    <w:multiLevelType w:val="hybridMultilevel"/>
    <w:tmpl w:val="71483A4A"/>
    <w:lvl w:ilvl="0" w:tplc="861A1D9E">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8B653B"/>
    <w:multiLevelType w:val="hybridMultilevel"/>
    <w:tmpl w:val="861A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1F7C02"/>
    <w:multiLevelType w:val="hybridMultilevel"/>
    <w:tmpl w:val="606CA9C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4226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AE045F6"/>
    <w:multiLevelType w:val="hybridMultilevel"/>
    <w:tmpl w:val="02A242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BDB4D65"/>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C325502"/>
    <w:multiLevelType w:val="hybridMultilevel"/>
    <w:tmpl w:val="195E6D0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1CA05021"/>
    <w:multiLevelType w:val="hybridMultilevel"/>
    <w:tmpl w:val="25F8E9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CE10863"/>
    <w:multiLevelType w:val="hybridMultilevel"/>
    <w:tmpl w:val="F47C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A2391B"/>
    <w:multiLevelType w:val="hybridMultilevel"/>
    <w:tmpl w:val="C91247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FAB1F08"/>
    <w:multiLevelType w:val="hybridMultilevel"/>
    <w:tmpl w:val="49AC9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0E5536"/>
    <w:multiLevelType w:val="hybridMultilevel"/>
    <w:tmpl w:val="5FC0CD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1237D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EB208B"/>
    <w:multiLevelType w:val="hybridMultilevel"/>
    <w:tmpl w:val="706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4034BC"/>
    <w:multiLevelType w:val="hybridMultilevel"/>
    <w:tmpl w:val="87C4D18A"/>
    <w:lvl w:ilvl="0" w:tplc="D0D616BE">
      <w:start w:val="1"/>
      <w:numFmt w:val="bullet"/>
      <w:lvlText w:val=""/>
      <w:lvlJc w:val="left"/>
      <w:pPr>
        <w:ind w:left="936" w:hanging="288"/>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AC2A7A"/>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148D2"/>
    <w:multiLevelType w:val="hybridMultilevel"/>
    <w:tmpl w:val="EE501C60"/>
    <w:lvl w:ilvl="0" w:tplc="2AFC7D52">
      <w:numFmt w:val="bullet"/>
      <w:lvlText w:val="•"/>
      <w:lvlJc w:val="left"/>
      <w:pPr>
        <w:ind w:left="648" w:hanging="432"/>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8EC258D"/>
    <w:multiLevelType w:val="hybridMultilevel"/>
    <w:tmpl w:val="72605A3A"/>
    <w:lvl w:ilvl="0" w:tplc="72441EAC">
      <w:numFmt w:val="bullet"/>
      <w:lvlText w:val="•"/>
      <w:lvlJc w:val="left"/>
      <w:pPr>
        <w:ind w:left="504" w:hanging="288"/>
      </w:pPr>
      <w:rPr>
        <w:rFonts w:ascii="Calibri" w:eastAsiaTheme="minorHAnsi" w:hAnsi="Calibri" w:cstheme="minorBidi" w:hint="default"/>
      </w:rPr>
    </w:lvl>
    <w:lvl w:ilvl="1" w:tplc="D0D616BE">
      <w:start w:val="1"/>
      <w:numFmt w:val="bullet"/>
      <w:lvlText w:val=""/>
      <w:lvlJc w:val="left"/>
      <w:pPr>
        <w:ind w:left="936" w:hanging="288"/>
      </w:pPr>
      <w:rPr>
        <w:rFonts w:ascii="Symbol" w:hAnsi="Symbol" w:hint="default"/>
        <w:color w:val="262626" w:themeColor="text1" w:themeTint="D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F45C6C"/>
    <w:multiLevelType w:val="hybridMultilevel"/>
    <w:tmpl w:val="BC3CD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9197046"/>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AE015D4"/>
    <w:multiLevelType w:val="hybridMultilevel"/>
    <w:tmpl w:val="D5E2DF24"/>
    <w:lvl w:ilvl="0" w:tplc="E65AA856">
      <w:start w:val="1"/>
      <w:numFmt w:val="decimal"/>
      <w:lvlText w:val="%1)"/>
      <w:lvlJc w:val="left"/>
      <w:pPr>
        <w:ind w:left="504" w:hanging="288"/>
      </w:pPr>
      <w:rPr>
        <w:rFonts w:hint="default"/>
      </w:rPr>
    </w:lvl>
    <w:lvl w:ilvl="1" w:tplc="17FC5E5C">
      <w:start w:val="1"/>
      <w:numFmt w:val="decimal"/>
      <w:lvlText w:val="%2."/>
      <w:lvlJc w:val="left"/>
      <w:pPr>
        <w:ind w:left="288" w:hanging="288"/>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E6055C"/>
    <w:multiLevelType w:val="hybridMultilevel"/>
    <w:tmpl w:val="C88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812A05"/>
    <w:multiLevelType w:val="hybridMultilevel"/>
    <w:tmpl w:val="7A8850F8"/>
    <w:lvl w:ilvl="0" w:tplc="D6E6BC54">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A044C4"/>
    <w:multiLevelType w:val="hybridMultilevel"/>
    <w:tmpl w:val="0B227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DE10A4"/>
    <w:multiLevelType w:val="hybridMultilevel"/>
    <w:tmpl w:val="10365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451224"/>
    <w:multiLevelType w:val="hybridMultilevel"/>
    <w:tmpl w:val="57EC5BDC"/>
    <w:lvl w:ilvl="0" w:tplc="35A0BE2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EA3840"/>
    <w:multiLevelType w:val="hybridMultilevel"/>
    <w:tmpl w:val="D1868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2E7DAA"/>
    <w:multiLevelType w:val="hybridMultilevel"/>
    <w:tmpl w:val="66E4B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EA17EA"/>
    <w:multiLevelType w:val="hybridMultilevel"/>
    <w:tmpl w:val="A100F616"/>
    <w:lvl w:ilvl="0" w:tplc="4DFADC2A">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2E633993"/>
    <w:multiLevelType w:val="hybridMultilevel"/>
    <w:tmpl w:val="E1529A80"/>
    <w:lvl w:ilvl="0" w:tplc="0DFCE4EE">
      <w:start w:val="1"/>
      <w:numFmt w:val="decimal"/>
      <w:lvlText w:val="%1)"/>
      <w:lvlJc w:val="left"/>
      <w:pPr>
        <w:ind w:left="540" w:hanging="360"/>
      </w:pPr>
      <w:rPr>
        <w:rFonts w:ascii="Cambria" w:eastAsia="Cambria" w:hAnsi="Cambria" w:cs="Cambria"/>
        <w:spacing w:val="-24"/>
        <w:w w:val="100"/>
        <w:sz w:val="24"/>
        <w:szCs w:val="24"/>
      </w:rPr>
    </w:lvl>
    <w:lvl w:ilvl="1" w:tplc="1CBA705C">
      <w:numFmt w:val="bullet"/>
      <w:lvlText w:val="•"/>
      <w:lvlJc w:val="left"/>
      <w:pPr>
        <w:ind w:left="360" w:hanging="360"/>
      </w:pPr>
      <w:rPr>
        <w:rFonts w:hint="default"/>
        <w:w w:val="103"/>
        <w:sz w:val="19"/>
        <w:szCs w:val="19"/>
      </w:rPr>
    </w:lvl>
    <w:lvl w:ilvl="2" w:tplc="B2EE0268">
      <w:start w:val="1"/>
      <w:numFmt w:val="lowerLetter"/>
      <w:lvlText w:val="%3)"/>
      <w:lvlJc w:val="left"/>
      <w:pPr>
        <w:ind w:left="810" w:hanging="360"/>
      </w:pPr>
      <w:rPr>
        <w:rFonts w:asciiTheme="minorHAnsi" w:eastAsia="Cambria" w:hAnsiTheme="minorHAnsi" w:cstheme="minorHAnsi"/>
      </w:rPr>
    </w:lvl>
    <w:lvl w:ilvl="3" w:tplc="8A765DE2">
      <w:numFmt w:val="bullet"/>
      <w:lvlText w:val="•"/>
      <w:lvlJc w:val="left"/>
      <w:pPr>
        <w:ind w:left="2362" w:hanging="360"/>
      </w:pPr>
      <w:rPr>
        <w:rFonts w:hint="default"/>
      </w:rPr>
    </w:lvl>
    <w:lvl w:ilvl="4" w:tplc="3076A4E6">
      <w:numFmt w:val="bullet"/>
      <w:lvlText w:val="•"/>
      <w:lvlJc w:val="left"/>
      <w:pPr>
        <w:ind w:left="2996" w:hanging="360"/>
      </w:pPr>
      <w:rPr>
        <w:rFonts w:hint="default"/>
      </w:rPr>
    </w:lvl>
    <w:lvl w:ilvl="5" w:tplc="B55048C8">
      <w:numFmt w:val="bullet"/>
      <w:lvlText w:val="•"/>
      <w:lvlJc w:val="left"/>
      <w:pPr>
        <w:ind w:left="3630" w:hanging="360"/>
      </w:pPr>
      <w:rPr>
        <w:rFonts w:hint="default"/>
      </w:rPr>
    </w:lvl>
    <w:lvl w:ilvl="6" w:tplc="79401554">
      <w:numFmt w:val="bullet"/>
      <w:lvlText w:val="•"/>
      <w:lvlJc w:val="left"/>
      <w:pPr>
        <w:ind w:left="4263" w:hanging="360"/>
      </w:pPr>
      <w:rPr>
        <w:rFonts w:hint="default"/>
      </w:rPr>
    </w:lvl>
    <w:lvl w:ilvl="7" w:tplc="9BCA1956">
      <w:numFmt w:val="bullet"/>
      <w:lvlText w:val="•"/>
      <w:lvlJc w:val="left"/>
      <w:pPr>
        <w:ind w:left="4897" w:hanging="360"/>
      </w:pPr>
      <w:rPr>
        <w:rFonts w:hint="default"/>
      </w:rPr>
    </w:lvl>
    <w:lvl w:ilvl="8" w:tplc="8152BEBC">
      <w:numFmt w:val="bullet"/>
      <w:lvlText w:val="•"/>
      <w:lvlJc w:val="left"/>
      <w:pPr>
        <w:ind w:left="5531" w:hanging="360"/>
      </w:pPr>
      <w:rPr>
        <w:rFonts w:hint="default"/>
      </w:rPr>
    </w:lvl>
  </w:abstractNum>
  <w:abstractNum w:abstractNumId="65"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AD6689"/>
    <w:multiLevelType w:val="hybridMultilevel"/>
    <w:tmpl w:val="E9CA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0"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71" w15:restartNumberingAfterBreak="0">
    <w:nsid w:val="31EB494C"/>
    <w:multiLevelType w:val="hybridMultilevel"/>
    <w:tmpl w:val="4AB0A176"/>
    <w:lvl w:ilvl="0" w:tplc="B10EFD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715E7"/>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3E47DF5"/>
    <w:multiLevelType w:val="hybridMultilevel"/>
    <w:tmpl w:val="F7BEC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5E0371"/>
    <w:multiLevelType w:val="hybridMultilevel"/>
    <w:tmpl w:val="D0D86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561D5B"/>
    <w:multiLevelType w:val="hybridMultilevel"/>
    <w:tmpl w:val="A6105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A740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92A4389"/>
    <w:multiLevelType w:val="hybridMultilevel"/>
    <w:tmpl w:val="50A8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3F71CA"/>
    <w:multiLevelType w:val="hybridMultilevel"/>
    <w:tmpl w:val="DFC4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DE39F1"/>
    <w:multiLevelType w:val="hybridMultilevel"/>
    <w:tmpl w:val="3536E792"/>
    <w:lvl w:ilvl="0" w:tplc="04090011">
      <w:start w:val="1"/>
      <w:numFmt w:val="decimal"/>
      <w:lvlText w:val="%1)"/>
      <w:lvlJc w:val="left"/>
      <w:pPr>
        <w:tabs>
          <w:tab w:val="num" w:pos="360"/>
        </w:tabs>
        <w:ind w:left="360" w:hanging="360"/>
      </w:pPr>
      <w:rPr>
        <w:rFonts w:hint="default"/>
        <w:color w:val="auto"/>
        <w:sz w:val="20"/>
        <w:szCs w:val="20"/>
      </w:rPr>
    </w:lvl>
    <w:lvl w:ilvl="1" w:tplc="04090003">
      <w:start w:val="1"/>
      <w:numFmt w:val="bullet"/>
      <w:lvlText w:val="o"/>
      <w:lvlJc w:val="left"/>
      <w:pPr>
        <w:tabs>
          <w:tab w:val="num" w:pos="-360"/>
        </w:tabs>
        <w:ind w:left="-36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3"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A2C7B9C"/>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100646"/>
    <w:multiLevelType w:val="multilevel"/>
    <w:tmpl w:val="B08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2700FD"/>
    <w:multiLevelType w:val="hybridMultilevel"/>
    <w:tmpl w:val="72523DD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C74606D"/>
    <w:multiLevelType w:val="hybridMultilevel"/>
    <w:tmpl w:val="F6D8500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872E35"/>
    <w:multiLevelType w:val="hybridMultilevel"/>
    <w:tmpl w:val="B628D0BA"/>
    <w:lvl w:ilvl="0" w:tplc="F3744C76">
      <w:start w:val="1"/>
      <w:numFmt w:val="bullet"/>
      <w:lvlText w:val="•"/>
      <w:lvlJc w:val="left"/>
      <w:pPr>
        <w:tabs>
          <w:tab w:val="num" w:pos="720"/>
        </w:tabs>
        <w:ind w:left="720" w:hanging="360"/>
      </w:pPr>
      <w:rPr>
        <w:rFonts w:ascii="Arial" w:hAnsi="Arial" w:hint="default"/>
      </w:rPr>
    </w:lvl>
    <w:lvl w:ilvl="1" w:tplc="9F621344" w:tentative="1">
      <w:start w:val="1"/>
      <w:numFmt w:val="bullet"/>
      <w:lvlText w:val="•"/>
      <w:lvlJc w:val="left"/>
      <w:pPr>
        <w:tabs>
          <w:tab w:val="num" w:pos="1440"/>
        </w:tabs>
        <w:ind w:left="1440" w:hanging="360"/>
      </w:pPr>
      <w:rPr>
        <w:rFonts w:ascii="Arial" w:hAnsi="Arial" w:hint="default"/>
      </w:rPr>
    </w:lvl>
    <w:lvl w:ilvl="2" w:tplc="9410B2DA" w:tentative="1">
      <w:start w:val="1"/>
      <w:numFmt w:val="bullet"/>
      <w:lvlText w:val="•"/>
      <w:lvlJc w:val="left"/>
      <w:pPr>
        <w:tabs>
          <w:tab w:val="num" w:pos="2160"/>
        </w:tabs>
        <w:ind w:left="2160" w:hanging="360"/>
      </w:pPr>
      <w:rPr>
        <w:rFonts w:ascii="Arial" w:hAnsi="Arial" w:hint="default"/>
      </w:rPr>
    </w:lvl>
    <w:lvl w:ilvl="3" w:tplc="07AA8966" w:tentative="1">
      <w:start w:val="1"/>
      <w:numFmt w:val="bullet"/>
      <w:lvlText w:val="•"/>
      <w:lvlJc w:val="left"/>
      <w:pPr>
        <w:tabs>
          <w:tab w:val="num" w:pos="2880"/>
        </w:tabs>
        <w:ind w:left="2880" w:hanging="360"/>
      </w:pPr>
      <w:rPr>
        <w:rFonts w:ascii="Arial" w:hAnsi="Arial" w:hint="default"/>
      </w:rPr>
    </w:lvl>
    <w:lvl w:ilvl="4" w:tplc="A24002A8" w:tentative="1">
      <w:start w:val="1"/>
      <w:numFmt w:val="bullet"/>
      <w:lvlText w:val="•"/>
      <w:lvlJc w:val="left"/>
      <w:pPr>
        <w:tabs>
          <w:tab w:val="num" w:pos="3600"/>
        </w:tabs>
        <w:ind w:left="3600" w:hanging="360"/>
      </w:pPr>
      <w:rPr>
        <w:rFonts w:ascii="Arial" w:hAnsi="Arial" w:hint="default"/>
      </w:rPr>
    </w:lvl>
    <w:lvl w:ilvl="5" w:tplc="63CE6748" w:tentative="1">
      <w:start w:val="1"/>
      <w:numFmt w:val="bullet"/>
      <w:lvlText w:val="•"/>
      <w:lvlJc w:val="left"/>
      <w:pPr>
        <w:tabs>
          <w:tab w:val="num" w:pos="4320"/>
        </w:tabs>
        <w:ind w:left="4320" w:hanging="360"/>
      </w:pPr>
      <w:rPr>
        <w:rFonts w:ascii="Arial" w:hAnsi="Arial" w:hint="default"/>
      </w:rPr>
    </w:lvl>
    <w:lvl w:ilvl="6" w:tplc="C7A6A3EC" w:tentative="1">
      <w:start w:val="1"/>
      <w:numFmt w:val="bullet"/>
      <w:lvlText w:val="•"/>
      <w:lvlJc w:val="left"/>
      <w:pPr>
        <w:tabs>
          <w:tab w:val="num" w:pos="5040"/>
        </w:tabs>
        <w:ind w:left="5040" w:hanging="360"/>
      </w:pPr>
      <w:rPr>
        <w:rFonts w:ascii="Arial" w:hAnsi="Arial" w:hint="default"/>
      </w:rPr>
    </w:lvl>
    <w:lvl w:ilvl="7" w:tplc="42623E94" w:tentative="1">
      <w:start w:val="1"/>
      <w:numFmt w:val="bullet"/>
      <w:lvlText w:val="•"/>
      <w:lvlJc w:val="left"/>
      <w:pPr>
        <w:tabs>
          <w:tab w:val="num" w:pos="5760"/>
        </w:tabs>
        <w:ind w:left="5760" w:hanging="360"/>
      </w:pPr>
      <w:rPr>
        <w:rFonts w:ascii="Arial" w:hAnsi="Arial" w:hint="default"/>
      </w:rPr>
    </w:lvl>
    <w:lvl w:ilvl="8" w:tplc="43DE263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E853503"/>
    <w:multiLevelType w:val="hybridMultilevel"/>
    <w:tmpl w:val="E9922F6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F3A4C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F985965"/>
    <w:multiLevelType w:val="hybridMultilevel"/>
    <w:tmpl w:val="5C3E33D4"/>
    <w:lvl w:ilvl="0" w:tplc="57A85F6E">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FF96D2B"/>
    <w:multiLevelType w:val="hybridMultilevel"/>
    <w:tmpl w:val="838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B826B0"/>
    <w:multiLevelType w:val="hybridMultilevel"/>
    <w:tmpl w:val="A41673E4"/>
    <w:lvl w:ilvl="0" w:tplc="B1F8F4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3997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63101D8"/>
    <w:multiLevelType w:val="hybridMultilevel"/>
    <w:tmpl w:val="E6A27918"/>
    <w:lvl w:ilvl="0" w:tplc="6116DCB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3353C"/>
    <w:multiLevelType w:val="hybridMultilevel"/>
    <w:tmpl w:val="A08A3E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66A081C"/>
    <w:multiLevelType w:val="hybridMultilevel"/>
    <w:tmpl w:val="0FBE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45780D"/>
    <w:multiLevelType w:val="hybridMultilevel"/>
    <w:tmpl w:val="FC46D0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6509A0"/>
    <w:multiLevelType w:val="hybridMultilevel"/>
    <w:tmpl w:val="59DCA496"/>
    <w:lvl w:ilvl="0" w:tplc="6116DC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CB44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06" w15:restartNumberingAfterBreak="0">
    <w:nsid w:val="4B8F7C05"/>
    <w:multiLevelType w:val="hybridMultilevel"/>
    <w:tmpl w:val="99CCB70A"/>
    <w:lvl w:ilvl="0" w:tplc="7708F446">
      <w:start w:val="1"/>
      <w:numFmt w:val="bullet"/>
      <w:lvlText w:val=""/>
      <w:lvlJc w:val="left"/>
      <w:pPr>
        <w:ind w:left="720" w:hanging="360"/>
      </w:pPr>
      <w:rPr>
        <w:rFonts w:ascii="Symbol" w:hAnsi="Symbol" w:hint="default"/>
        <w:color w:val="auto"/>
      </w:rPr>
    </w:lvl>
    <w:lvl w:ilvl="1" w:tplc="F7260FBC">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BD32ED7"/>
    <w:multiLevelType w:val="hybridMultilevel"/>
    <w:tmpl w:val="5F36FBF8"/>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D23725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F003BC"/>
    <w:multiLevelType w:val="hybridMultilevel"/>
    <w:tmpl w:val="FB5C8870"/>
    <w:lvl w:ilvl="0" w:tplc="C732493E">
      <w:start w:val="1"/>
      <w:numFmt w:val="decimal"/>
      <w:lvlText w:val="%1)"/>
      <w:lvlJc w:val="left"/>
      <w:pPr>
        <w:tabs>
          <w:tab w:val="num" w:pos="720"/>
        </w:tabs>
        <w:ind w:left="720" w:hanging="360"/>
      </w:pPr>
    </w:lvl>
    <w:lvl w:ilvl="1" w:tplc="38C0AB28" w:tentative="1">
      <w:start w:val="1"/>
      <w:numFmt w:val="decimal"/>
      <w:lvlText w:val="%2)"/>
      <w:lvlJc w:val="left"/>
      <w:pPr>
        <w:tabs>
          <w:tab w:val="num" w:pos="1440"/>
        </w:tabs>
        <w:ind w:left="1440" w:hanging="360"/>
      </w:pPr>
    </w:lvl>
    <w:lvl w:ilvl="2" w:tplc="9F3C3376" w:tentative="1">
      <w:start w:val="1"/>
      <w:numFmt w:val="decimal"/>
      <w:lvlText w:val="%3)"/>
      <w:lvlJc w:val="left"/>
      <w:pPr>
        <w:tabs>
          <w:tab w:val="num" w:pos="2160"/>
        </w:tabs>
        <w:ind w:left="2160" w:hanging="360"/>
      </w:pPr>
    </w:lvl>
    <w:lvl w:ilvl="3" w:tplc="A8DC7F14" w:tentative="1">
      <w:start w:val="1"/>
      <w:numFmt w:val="decimal"/>
      <w:lvlText w:val="%4)"/>
      <w:lvlJc w:val="left"/>
      <w:pPr>
        <w:tabs>
          <w:tab w:val="num" w:pos="2880"/>
        </w:tabs>
        <w:ind w:left="2880" w:hanging="360"/>
      </w:pPr>
    </w:lvl>
    <w:lvl w:ilvl="4" w:tplc="BD027410" w:tentative="1">
      <w:start w:val="1"/>
      <w:numFmt w:val="decimal"/>
      <w:lvlText w:val="%5)"/>
      <w:lvlJc w:val="left"/>
      <w:pPr>
        <w:tabs>
          <w:tab w:val="num" w:pos="3600"/>
        </w:tabs>
        <w:ind w:left="3600" w:hanging="360"/>
      </w:pPr>
    </w:lvl>
    <w:lvl w:ilvl="5" w:tplc="1D362A0E" w:tentative="1">
      <w:start w:val="1"/>
      <w:numFmt w:val="decimal"/>
      <w:lvlText w:val="%6)"/>
      <w:lvlJc w:val="left"/>
      <w:pPr>
        <w:tabs>
          <w:tab w:val="num" w:pos="4320"/>
        </w:tabs>
        <w:ind w:left="4320" w:hanging="360"/>
      </w:pPr>
    </w:lvl>
    <w:lvl w:ilvl="6" w:tplc="E990D3BC" w:tentative="1">
      <w:start w:val="1"/>
      <w:numFmt w:val="decimal"/>
      <w:lvlText w:val="%7)"/>
      <w:lvlJc w:val="left"/>
      <w:pPr>
        <w:tabs>
          <w:tab w:val="num" w:pos="5040"/>
        </w:tabs>
        <w:ind w:left="5040" w:hanging="360"/>
      </w:pPr>
    </w:lvl>
    <w:lvl w:ilvl="7" w:tplc="4E36FE96" w:tentative="1">
      <w:start w:val="1"/>
      <w:numFmt w:val="decimal"/>
      <w:lvlText w:val="%8)"/>
      <w:lvlJc w:val="left"/>
      <w:pPr>
        <w:tabs>
          <w:tab w:val="num" w:pos="5760"/>
        </w:tabs>
        <w:ind w:left="5760" w:hanging="360"/>
      </w:pPr>
    </w:lvl>
    <w:lvl w:ilvl="8" w:tplc="69D0DA9E" w:tentative="1">
      <w:start w:val="1"/>
      <w:numFmt w:val="decimal"/>
      <w:lvlText w:val="%9)"/>
      <w:lvlJc w:val="left"/>
      <w:pPr>
        <w:tabs>
          <w:tab w:val="num" w:pos="6480"/>
        </w:tabs>
        <w:ind w:left="6480" w:hanging="360"/>
      </w:pPr>
    </w:lvl>
  </w:abstractNum>
  <w:abstractNum w:abstractNumId="110" w15:restartNumberingAfterBreak="0">
    <w:nsid w:val="51126778"/>
    <w:multiLevelType w:val="hybridMultilevel"/>
    <w:tmpl w:val="8EFA90D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113073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1F03D41"/>
    <w:multiLevelType w:val="multilevel"/>
    <w:tmpl w:val="640239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Roman"/>
      <w:lvlText w:val="%4."/>
      <w:lvlJc w:val="righ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3" w15:restartNumberingAfterBreak="0">
    <w:nsid w:val="55CD5DB7"/>
    <w:multiLevelType w:val="hybridMultilevel"/>
    <w:tmpl w:val="09984A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66247E0"/>
    <w:multiLevelType w:val="hybridMultilevel"/>
    <w:tmpl w:val="639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8184831"/>
    <w:multiLevelType w:val="hybridMultilevel"/>
    <w:tmpl w:val="9F921E5E"/>
    <w:lvl w:ilvl="0" w:tplc="E65AA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8A8007C"/>
    <w:multiLevelType w:val="hybridMultilevel"/>
    <w:tmpl w:val="A6C08B90"/>
    <w:lvl w:ilvl="0" w:tplc="B10EFD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9" w15:restartNumberingAfterBreak="0">
    <w:nsid w:val="59111996"/>
    <w:multiLevelType w:val="hybridMultilevel"/>
    <w:tmpl w:val="86169DC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C352F7E"/>
    <w:multiLevelType w:val="hybridMultilevel"/>
    <w:tmpl w:val="64626F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77175C"/>
    <w:multiLevelType w:val="hybridMultilevel"/>
    <w:tmpl w:val="92F2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96346B"/>
    <w:multiLevelType w:val="hybridMultilevel"/>
    <w:tmpl w:val="30F0B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FA19B5"/>
    <w:multiLevelType w:val="hybridMultilevel"/>
    <w:tmpl w:val="941C86E8"/>
    <w:lvl w:ilvl="0" w:tplc="9C5E2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B04EB0"/>
    <w:multiLevelType w:val="hybridMultilevel"/>
    <w:tmpl w:val="129C47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F0872B7"/>
    <w:multiLevelType w:val="hybridMultilevel"/>
    <w:tmpl w:val="473E99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8C4927"/>
    <w:multiLevelType w:val="hybridMultilevel"/>
    <w:tmpl w:val="0674E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062267"/>
    <w:multiLevelType w:val="hybridMultilevel"/>
    <w:tmpl w:val="BB58CF00"/>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D6C4D37C">
      <w:start w:val="1"/>
      <w:numFmt w:val="lowerLetter"/>
      <w:lvlText w:val="%3)"/>
      <w:lvlJc w:val="left"/>
      <w:pPr>
        <w:ind w:left="3060" w:hanging="720"/>
      </w:pPr>
      <w:rPr>
        <w:rFonts w:hint="default"/>
      </w:rPr>
    </w:lvl>
    <w:lvl w:ilvl="3" w:tplc="EB68B6B4">
      <w:start w:val="1"/>
      <w:numFmt w:val="lowerLetter"/>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0130881"/>
    <w:multiLevelType w:val="hybridMultilevel"/>
    <w:tmpl w:val="FE78C6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61E31ABA"/>
    <w:multiLevelType w:val="hybridMultilevel"/>
    <w:tmpl w:val="22E89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9F33C9"/>
    <w:multiLevelType w:val="hybridMultilevel"/>
    <w:tmpl w:val="8BCA32C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2D37EE5"/>
    <w:multiLevelType w:val="hybridMultilevel"/>
    <w:tmpl w:val="F522BB22"/>
    <w:lvl w:ilvl="0" w:tplc="01C0999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4509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3F15164"/>
    <w:multiLevelType w:val="hybridMultilevel"/>
    <w:tmpl w:val="80CC98FC"/>
    <w:lvl w:ilvl="0" w:tplc="04090015">
      <w:start w:val="1"/>
      <w:numFmt w:val="upperLetter"/>
      <w:lvlText w:val="%1."/>
      <w:lvlJc w:val="left"/>
      <w:pPr>
        <w:ind w:left="63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014187"/>
    <w:multiLevelType w:val="hybridMultilevel"/>
    <w:tmpl w:val="232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7076C8"/>
    <w:multiLevelType w:val="hybridMultilevel"/>
    <w:tmpl w:val="06C04406"/>
    <w:lvl w:ilvl="0" w:tplc="F8462A9C">
      <w:start w:val="2016"/>
      <w:numFmt w:val="bullet"/>
      <w:lvlText w:val=""/>
      <w:lvlJc w:val="left"/>
      <w:pPr>
        <w:ind w:left="432" w:hanging="216"/>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46421D"/>
    <w:multiLevelType w:val="multilevel"/>
    <w:tmpl w:val="2E0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7783FD6"/>
    <w:multiLevelType w:val="hybridMultilevel"/>
    <w:tmpl w:val="68C81EA2"/>
    <w:lvl w:ilvl="0" w:tplc="861A1D9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6847310F"/>
    <w:multiLevelType w:val="hybridMultilevel"/>
    <w:tmpl w:val="8C22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8D149C"/>
    <w:multiLevelType w:val="hybridMultilevel"/>
    <w:tmpl w:val="AB5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7E1983"/>
    <w:multiLevelType w:val="hybridMultilevel"/>
    <w:tmpl w:val="B406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2B3D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C37D26"/>
    <w:multiLevelType w:val="hybridMultilevel"/>
    <w:tmpl w:val="FC08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F2F34A2"/>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FCE0F43"/>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037476E"/>
    <w:multiLevelType w:val="hybridMultilevel"/>
    <w:tmpl w:val="2F8A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61783F"/>
    <w:multiLevelType w:val="hybridMultilevel"/>
    <w:tmpl w:val="83CCC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140072F"/>
    <w:multiLevelType w:val="hybridMultilevel"/>
    <w:tmpl w:val="1F5A0C16"/>
    <w:lvl w:ilvl="0" w:tplc="B10EFDFE">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EF3B37"/>
    <w:multiLevelType w:val="hybridMultilevel"/>
    <w:tmpl w:val="BE7E8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10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AD2D4B"/>
    <w:multiLevelType w:val="hybridMultilevel"/>
    <w:tmpl w:val="03A077E2"/>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FB6A25"/>
    <w:multiLevelType w:val="hybridMultilevel"/>
    <w:tmpl w:val="BF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35E3D05"/>
    <w:multiLevelType w:val="hybridMultilevel"/>
    <w:tmpl w:val="67BC066E"/>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4595BAF"/>
    <w:multiLevelType w:val="hybridMultilevel"/>
    <w:tmpl w:val="6F7EB3D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47D283B"/>
    <w:multiLevelType w:val="hybridMultilevel"/>
    <w:tmpl w:val="2BDCE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5A2204F"/>
    <w:multiLevelType w:val="hybridMultilevel"/>
    <w:tmpl w:val="DBC6D8C2"/>
    <w:lvl w:ilvl="0" w:tplc="F01E3704">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7693635"/>
    <w:multiLevelType w:val="hybridMultilevel"/>
    <w:tmpl w:val="C0C6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E27285"/>
    <w:multiLevelType w:val="hybridMultilevel"/>
    <w:tmpl w:val="2DBA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A753436"/>
    <w:multiLevelType w:val="hybridMultilevel"/>
    <w:tmpl w:val="871CE69A"/>
    <w:lvl w:ilvl="0" w:tplc="5344F34C">
      <w:start w:val="1"/>
      <w:numFmt w:val="decimal"/>
      <w:lvlText w:val="%1)"/>
      <w:lvlJc w:val="left"/>
      <w:pPr>
        <w:tabs>
          <w:tab w:val="num" w:pos="720"/>
        </w:tabs>
        <w:ind w:left="720" w:hanging="360"/>
      </w:pPr>
    </w:lvl>
    <w:lvl w:ilvl="1" w:tplc="61BCC9FC" w:tentative="1">
      <w:start w:val="1"/>
      <w:numFmt w:val="decimal"/>
      <w:lvlText w:val="%2)"/>
      <w:lvlJc w:val="left"/>
      <w:pPr>
        <w:tabs>
          <w:tab w:val="num" w:pos="1440"/>
        </w:tabs>
        <w:ind w:left="1440" w:hanging="360"/>
      </w:pPr>
    </w:lvl>
    <w:lvl w:ilvl="2" w:tplc="826032CC" w:tentative="1">
      <w:start w:val="1"/>
      <w:numFmt w:val="decimal"/>
      <w:lvlText w:val="%3)"/>
      <w:lvlJc w:val="left"/>
      <w:pPr>
        <w:tabs>
          <w:tab w:val="num" w:pos="2160"/>
        </w:tabs>
        <w:ind w:left="2160" w:hanging="360"/>
      </w:pPr>
    </w:lvl>
    <w:lvl w:ilvl="3" w:tplc="44B2F0E0" w:tentative="1">
      <w:start w:val="1"/>
      <w:numFmt w:val="decimal"/>
      <w:lvlText w:val="%4)"/>
      <w:lvlJc w:val="left"/>
      <w:pPr>
        <w:tabs>
          <w:tab w:val="num" w:pos="2880"/>
        </w:tabs>
        <w:ind w:left="2880" w:hanging="360"/>
      </w:pPr>
    </w:lvl>
    <w:lvl w:ilvl="4" w:tplc="8966A03A" w:tentative="1">
      <w:start w:val="1"/>
      <w:numFmt w:val="decimal"/>
      <w:lvlText w:val="%5)"/>
      <w:lvlJc w:val="left"/>
      <w:pPr>
        <w:tabs>
          <w:tab w:val="num" w:pos="3600"/>
        </w:tabs>
        <w:ind w:left="3600" w:hanging="360"/>
      </w:pPr>
    </w:lvl>
    <w:lvl w:ilvl="5" w:tplc="7C4AAF2A" w:tentative="1">
      <w:start w:val="1"/>
      <w:numFmt w:val="decimal"/>
      <w:lvlText w:val="%6)"/>
      <w:lvlJc w:val="left"/>
      <w:pPr>
        <w:tabs>
          <w:tab w:val="num" w:pos="4320"/>
        </w:tabs>
        <w:ind w:left="4320" w:hanging="360"/>
      </w:pPr>
    </w:lvl>
    <w:lvl w:ilvl="6" w:tplc="59A81FAA" w:tentative="1">
      <w:start w:val="1"/>
      <w:numFmt w:val="decimal"/>
      <w:lvlText w:val="%7)"/>
      <w:lvlJc w:val="left"/>
      <w:pPr>
        <w:tabs>
          <w:tab w:val="num" w:pos="5040"/>
        </w:tabs>
        <w:ind w:left="5040" w:hanging="360"/>
      </w:pPr>
    </w:lvl>
    <w:lvl w:ilvl="7" w:tplc="45BEDB9E" w:tentative="1">
      <w:start w:val="1"/>
      <w:numFmt w:val="decimal"/>
      <w:lvlText w:val="%8)"/>
      <w:lvlJc w:val="left"/>
      <w:pPr>
        <w:tabs>
          <w:tab w:val="num" w:pos="5760"/>
        </w:tabs>
        <w:ind w:left="5760" w:hanging="360"/>
      </w:pPr>
    </w:lvl>
    <w:lvl w:ilvl="8" w:tplc="C1E62E52" w:tentative="1">
      <w:start w:val="1"/>
      <w:numFmt w:val="decimal"/>
      <w:lvlText w:val="%9)"/>
      <w:lvlJc w:val="left"/>
      <w:pPr>
        <w:tabs>
          <w:tab w:val="num" w:pos="6480"/>
        </w:tabs>
        <w:ind w:left="6480" w:hanging="360"/>
      </w:pPr>
    </w:lvl>
  </w:abstractNum>
  <w:abstractNum w:abstractNumId="166" w15:restartNumberingAfterBreak="0">
    <w:nsid w:val="7C627D6F"/>
    <w:multiLevelType w:val="hybridMultilevel"/>
    <w:tmpl w:val="24C4D4B2"/>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D877944"/>
    <w:multiLevelType w:val="hybridMultilevel"/>
    <w:tmpl w:val="F16E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347393"/>
    <w:multiLevelType w:val="hybridMultilevel"/>
    <w:tmpl w:val="8474CD1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E3E6CEB"/>
    <w:multiLevelType w:val="multilevel"/>
    <w:tmpl w:val="9C8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E44430D"/>
    <w:multiLevelType w:val="hybridMultilevel"/>
    <w:tmpl w:val="3A3C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B22BA6"/>
    <w:multiLevelType w:val="hybridMultilevel"/>
    <w:tmpl w:val="5916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C3388E"/>
    <w:multiLevelType w:val="hybridMultilevel"/>
    <w:tmpl w:val="4C2470E6"/>
    <w:lvl w:ilvl="0" w:tplc="72604F4A">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4" w15:restartNumberingAfterBreak="0">
    <w:nsid w:val="7FE42F19"/>
    <w:multiLevelType w:val="hybridMultilevel"/>
    <w:tmpl w:val="FEA21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131468">
    <w:abstractNumId w:val="137"/>
  </w:num>
  <w:num w:numId="2" w16cid:durableId="1135372799">
    <w:abstractNumId w:val="48"/>
  </w:num>
  <w:num w:numId="3" w16cid:durableId="1749620255">
    <w:abstractNumId w:val="19"/>
  </w:num>
  <w:num w:numId="4" w16cid:durableId="1681273797">
    <w:abstractNumId w:val="54"/>
  </w:num>
  <w:num w:numId="5" w16cid:durableId="1283345372">
    <w:abstractNumId w:val="123"/>
  </w:num>
  <w:num w:numId="6" w16cid:durableId="985281902">
    <w:abstractNumId w:val="107"/>
  </w:num>
  <w:num w:numId="7" w16cid:durableId="2037734719">
    <w:abstractNumId w:val="6"/>
  </w:num>
  <w:num w:numId="8" w16cid:durableId="1997605622">
    <w:abstractNumId w:val="154"/>
  </w:num>
  <w:num w:numId="9" w16cid:durableId="868762513">
    <w:abstractNumId w:val="172"/>
  </w:num>
  <w:num w:numId="10" w16cid:durableId="1457528412">
    <w:abstractNumId w:val="51"/>
  </w:num>
  <w:num w:numId="11" w16cid:durableId="52388920">
    <w:abstractNumId w:val="156"/>
  </w:num>
  <w:num w:numId="12" w16cid:durableId="372922287">
    <w:abstractNumId w:val="101"/>
  </w:num>
  <w:num w:numId="13" w16cid:durableId="753085732">
    <w:abstractNumId w:val="96"/>
  </w:num>
  <w:num w:numId="14" w16cid:durableId="1812014859">
    <w:abstractNumId w:val="160"/>
  </w:num>
  <w:num w:numId="15" w16cid:durableId="1797210447">
    <w:abstractNumId w:val="22"/>
  </w:num>
  <w:num w:numId="16" w16cid:durableId="1649361911">
    <w:abstractNumId w:val="106"/>
  </w:num>
  <w:num w:numId="17" w16cid:durableId="290677470">
    <w:abstractNumId w:val="61"/>
  </w:num>
  <w:num w:numId="18" w16cid:durableId="348140275">
    <w:abstractNumId w:val="60"/>
  </w:num>
  <w:num w:numId="19" w16cid:durableId="2056923368">
    <w:abstractNumId w:val="66"/>
  </w:num>
  <w:num w:numId="20" w16cid:durableId="508763856">
    <w:abstractNumId w:val="20"/>
  </w:num>
  <w:num w:numId="21" w16cid:durableId="1868987930">
    <w:abstractNumId w:val="115"/>
  </w:num>
  <w:num w:numId="22" w16cid:durableId="2007904306">
    <w:abstractNumId w:val="171"/>
  </w:num>
  <w:num w:numId="23" w16cid:durableId="1221359882">
    <w:abstractNumId w:val="47"/>
  </w:num>
  <w:num w:numId="24" w16cid:durableId="1260092937">
    <w:abstractNumId w:val="155"/>
  </w:num>
  <w:num w:numId="25" w16cid:durableId="1147166943">
    <w:abstractNumId w:val="89"/>
  </w:num>
  <w:num w:numId="26" w16cid:durableId="1250850710">
    <w:abstractNumId w:val="23"/>
  </w:num>
  <w:num w:numId="27" w16cid:durableId="247037090">
    <w:abstractNumId w:val="139"/>
  </w:num>
  <w:num w:numId="28" w16cid:durableId="704254756">
    <w:abstractNumId w:val="9"/>
  </w:num>
  <w:num w:numId="29" w16cid:durableId="477454376">
    <w:abstractNumId w:val="26"/>
  </w:num>
  <w:num w:numId="30" w16cid:durableId="451823552">
    <w:abstractNumId w:val="108"/>
  </w:num>
  <w:num w:numId="31" w16cid:durableId="583496876">
    <w:abstractNumId w:val="49"/>
  </w:num>
  <w:num w:numId="32" w16cid:durableId="1900047094">
    <w:abstractNumId w:val="84"/>
  </w:num>
  <w:num w:numId="33" w16cid:durableId="101993924">
    <w:abstractNumId w:val="166"/>
  </w:num>
  <w:num w:numId="34" w16cid:durableId="918246074">
    <w:abstractNumId w:val="163"/>
  </w:num>
  <w:num w:numId="35" w16cid:durableId="2136830977">
    <w:abstractNumId w:val="97"/>
  </w:num>
  <w:num w:numId="36" w16cid:durableId="1346908325">
    <w:abstractNumId w:val="81"/>
  </w:num>
  <w:num w:numId="37" w16cid:durableId="422117462">
    <w:abstractNumId w:val="70"/>
  </w:num>
  <w:num w:numId="38" w16cid:durableId="2110661136">
    <w:abstractNumId w:val="114"/>
  </w:num>
  <w:num w:numId="39" w16cid:durableId="120462375">
    <w:abstractNumId w:val="17"/>
  </w:num>
  <w:num w:numId="40" w16cid:durableId="1231383881">
    <w:abstractNumId w:val="16"/>
  </w:num>
  <w:num w:numId="41" w16cid:durableId="822160027">
    <w:abstractNumId w:val="27"/>
  </w:num>
  <w:num w:numId="42" w16cid:durableId="997418356">
    <w:abstractNumId w:val="90"/>
  </w:num>
  <w:num w:numId="43" w16cid:durableId="68574823">
    <w:abstractNumId w:val="127"/>
  </w:num>
  <w:num w:numId="44" w16cid:durableId="1498494914">
    <w:abstractNumId w:val="174"/>
  </w:num>
  <w:num w:numId="45" w16cid:durableId="1299724087">
    <w:abstractNumId w:val="88"/>
  </w:num>
  <w:num w:numId="46" w16cid:durableId="96871802">
    <w:abstractNumId w:val="32"/>
  </w:num>
  <w:num w:numId="47" w16cid:durableId="1355962103">
    <w:abstractNumId w:val="131"/>
  </w:num>
  <w:num w:numId="48" w16cid:durableId="1663464678">
    <w:abstractNumId w:val="55"/>
  </w:num>
  <w:num w:numId="49" w16cid:durableId="441848593">
    <w:abstractNumId w:val="46"/>
  </w:num>
  <w:num w:numId="50" w16cid:durableId="4135861">
    <w:abstractNumId w:val="3"/>
  </w:num>
  <w:num w:numId="51" w16cid:durableId="167840494">
    <w:abstractNumId w:val="39"/>
  </w:num>
  <w:num w:numId="52" w16cid:durableId="1390424461">
    <w:abstractNumId w:val="74"/>
  </w:num>
  <w:num w:numId="53" w16cid:durableId="507908604">
    <w:abstractNumId w:val="94"/>
  </w:num>
  <w:num w:numId="54" w16cid:durableId="128940180">
    <w:abstractNumId w:val="157"/>
  </w:num>
  <w:num w:numId="55" w16cid:durableId="1284194032">
    <w:abstractNumId w:val="30"/>
  </w:num>
  <w:num w:numId="56" w16cid:durableId="2044087220">
    <w:abstractNumId w:val="162"/>
  </w:num>
  <w:num w:numId="57" w16cid:durableId="172564061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9968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3925763">
    <w:abstractNumId w:val="45"/>
  </w:num>
  <w:num w:numId="60" w16cid:durableId="679816612">
    <w:abstractNumId w:val="14"/>
  </w:num>
  <w:num w:numId="61" w16cid:durableId="1864368316">
    <w:abstractNumId w:val="164"/>
  </w:num>
  <w:num w:numId="62" w16cid:durableId="1415129324">
    <w:abstractNumId w:val="100"/>
  </w:num>
  <w:num w:numId="63" w16cid:durableId="1951400920">
    <w:abstractNumId w:val="42"/>
  </w:num>
  <w:num w:numId="64" w16cid:durableId="1223442112">
    <w:abstractNumId w:val="159"/>
  </w:num>
  <w:num w:numId="65" w16cid:durableId="99299388">
    <w:abstractNumId w:val="52"/>
  </w:num>
  <w:num w:numId="66" w16cid:durableId="716585389">
    <w:abstractNumId w:val="1"/>
  </w:num>
  <w:num w:numId="67" w16cid:durableId="5732475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89978599">
    <w:abstractNumId w:val="44"/>
  </w:num>
  <w:num w:numId="69" w16cid:durableId="1121193977">
    <w:abstractNumId w:val="83"/>
  </w:num>
  <w:num w:numId="70" w16cid:durableId="228153231">
    <w:abstractNumId w:val="102"/>
  </w:num>
  <w:num w:numId="71" w16cid:durableId="1685786260">
    <w:abstractNumId w:val="4"/>
  </w:num>
  <w:num w:numId="72" w16cid:durableId="119692936">
    <w:abstractNumId w:val="65"/>
  </w:num>
  <w:num w:numId="73" w16cid:durableId="397725">
    <w:abstractNumId w:val="130"/>
  </w:num>
  <w:num w:numId="74" w16cid:durableId="1439720992">
    <w:abstractNumId w:val="173"/>
  </w:num>
  <w:num w:numId="75" w16cid:durableId="1979918652">
    <w:abstractNumId w:val="75"/>
  </w:num>
  <w:num w:numId="76" w16cid:durableId="655376467">
    <w:abstractNumId w:val="69"/>
  </w:num>
  <w:num w:numId="77" w16cid:durableId="1393651114">
    <w:abstractNumId w:val="80"/>
  </w:num>
  <w:num w:numId="78" w16cid:durableId="258415361">
    <w:abstractNumId w:val="82"/>
  </w:num>
  <w:num w:numId="79" w16cid:durableId="484055949">
    <w:abstractNumId w:val="132"/>
  </w:num>
  <w:num w:numId="80" w16cid:durableId="364330947">
    <w:abstractNumId w:val="118"/>
  </w:num>
  <w:num w:numId="81" w16cid:durableId="2035155507">
    <w:abstractNumId w:val="71"/>
  </w:num>
  <w:num w:numId="82" w16cid:durableId="464005812">
    <w:abstractNumId w:val="40"/>
  </w:num>
  <w:num w:numId="83" w16cid:durableId="718869056">
    <w:abstractNumId w:val="152"/>
  </w:num>
  <w:num w:numId="84" w16cid:durableId="40903558">
    <w:abstractNumId w:val="36"/>
  </w:num>
  <w:num w:numId="85" w16cid:durableId="900751684">
    <w:abstractNumId w:val="13"/>
  </w:num>
  <w:num w:numId="86" w16cid:durableId="1742094818">
    <w:abstractNumId w:val="5"/>
  </w:num>
  <w:num w:numId="87" w16cid:durableId="1596283336">
    <w:abstractNumId w:val="38"/>
  </w:num>
  <w:num w:numId="88" w16cid:durableId="347487529">
    <w:abstractNumId w:val="113"/>
  </w:num>
  <w:num w:numId="89" w16cid:durableId="1306744089">
    <w:abstractNumId w:val="110"/>
  </w:num>
  <w:num w:numId="90" w16cid:durableId="699891380">
    <w:abstractNumId w:val="124"/>
  </w:num>
  <w:num w:numId="91" w16cid:durableId="813136980">
    <w:abstractNumId w:val="168"/>
  </w:num>
  <w:num w:numId="92" w16cid:durableId="646932385">
    <w:abstractNumId w:val="0"/>
  </w:num>
  <w:num w:numId="93" w16cid:durableId="1847012902">
    <w:abstractNumId w:val="37"/>
  </w:num>
  <w:num w:numId="94" w16cid:durableId="610556581">
    <w:abstractNumId w:val="77"/>
  </w:num>
  <w:num w:numId="95" w16cid:durableId="378668632">
    <w:abstractNumId w:val="103"/>
  </w:num>
  <w:num w:numId="96" w16cid:durableId="1257249234">
    <w:abstractNumId w:val="136"/>
  </w:num>
  <w:num w:numId="97" w16cid:durableId="249779430">
    <w:abstractNumId w:val="105"/>
  </w:num>
  <w:num w:numId="98" w16cid:durableId="2017416327">
    <w:abstractNumId w:val="161"/>
  </w:num>
  <w:num w:numId="99" w16cid:durableId="124934173">
    <w:abstractNumId w:val="149"/>
  </w:num>
  <w:num w:numId="100" w16cid:durableId="2098015401">
    <w:abstractNumId w:val="133"/>
  </w:num>
  <w:num w:numId="101" w16cid:durableId="104152974">
    <w:abstractNumId w:val="59"/>
  </w:num>
  <w:num w:numId="102" w16cid:durableId="1492213943">
    <w:abstractNumId w:val="10"/>
  </w:num>
  <w:num w:numId="103" w16cid:durableId="1622808902">
    <w:abstractNumId w:val="56"/>
  </w:num>
  <w:num w:numId="104" w16cid:durableId="620646231">
    <w:abstractNumId w:val="145"/>
  </w:num>
  <w:num w:numId="105" w16cid:durableId="551117502">
    <w:abstractNumId w:val="62"/>
  </w:num>
  <w:num w:numId="106" w16cid:durableId="152260177">
    <w:abstractNumId w:val="25"/>
  </w:num>
  <w:num w:numId="107" w16cid:durableId="269555936">
    <w:abstractNumId w:val="98"/>
  </w:num>
  <w:num w:numId="108" w16cid:durableId="678652889">
    <w:abstractNumId w:val="41"/>
  </w:num>
  <w:num w:numId="109" w16cid:durableId="518784489">
    <w:abstractNumId w:val="122"/>
  </w:num>
  <w:num w:numId="110" w16cid:durableId="736519455">
    <w:abstractNumId w:val="99"/>
  </w:num>
  <w:num w:numId="111" w16cid:durableId="339043878">
    <w:abstractNumId w:val="87"/>
  </w:num>
  <w:num w:numId="112" w16cid:durableId="665597236">
    <w:abstractNumId w:val="120"/>
  </w:num>
  <w:num w:numId="113" w16cid:durableId="1597784328">
    <w:abstractNumId w:val="68"/>
  </w:num>
  <w:num w:numId="114" w16cid:durableId="1431046625">
    <w:abstractNumId w:val="57"/>
  </w:num>
  <w:num w:numId="115" w16cid:durableId="1453011051">
    <w:abstractNumId w:val="29"/>
  </w:num>
  <w:num w:numId="116" w16cid:durableId="705833794">
    <w:abstractNumId w:val="15"/>
  </w:num>
  <w:num w:numId="117" w16cid:durableId="641538735">
    <w:abstractNumId w:val="142"/>
  </w:num>
  <w:num w:numId="118" w16cid:durableId="2066222617">
    <w:abstractNumId w:val="167"/>
  </w:num>
  <w:num w:numId="119" w16cid:durableId="1043022522">
    <w:abstractNumId w:val="170"/>
  </w:num>
  <w:num w:numId="120" w16cid:durableId="1042901704">
    <w:abstractNumId w:val="24"/>
  </w:num>
  <w:num w:numId="121" w16cid:durableId="956255378">
    <w:abstractNumId w:val="58"/>
  </w:num>
  <w:num w:numId="122" w16cid:durableId="1632973626">
    <w:abstractNumId w:val="112"/>
  </w:num>
  <w:num w:numId="123" w16cid:durableId="1382250814">
    <w:abstractNumId w:val="153"/>
  </w:num>
  <w:num w:numId="124" w16cid:durableId="2064211110">
    <w:abstractNumId w:val="64"/>
  </w:num>
  <w:num w:numId="125" w16cid:durableId="1353606398">
    <w:abstractNumId w:val="31"/>
  </w:num>
  <w:num w:numId="126" w16cid:durableId="60293674">
    <w:abstractNumId w:val="135"/>
  </w:num>
  <w:num w:numId="127" w16cid:durableId="1835804940">
    <w:abstractNumId w:val="28"/>
  </w:num>
  <w:num w:numId="128" w16cid:durableId="531378295">
    <w:abstractNumId w:val="125"/>
  </w:num>
  <w:num w:numId="129" w16cid:durableId="317542537">
    <w:abstractNumId w:val="126"/>
  </w:num>
  <w:num w:numId="130" w16cid:durableId="72162892">
    <w:abstractNumId w:val="7"/>
  </w:num>
  <w:num w:numId="131" w16cid:durableId="686902846">
    <w:abstractNumId w:val="86"/>
  </w:num>
  <w:num w:numId="132" w16cid:durableId="1108895264">
    <w:abstractNumId w:val="143"/>
  </w:num>
  <w:num w:numId="133" w16cid:durableId="681471463">
    <w:abstractNumId w:val="138"/>
  </w:num>
  <w:num w:numId="134" w16cid:durableId="1539707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458870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51435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20349143">
    <w:abstractNumId w:val="50"/>
  </w:num>
  <w:num w:numId="138" w16cid:durableId="1988974251">
    <w:abstractNumId w:val="169"/>
  </w:num>
  <w:num w:numId="139" w16cid:durableId="86855024">
    <w:abstractNumId w:val="85"/>
  </w:num>
  <w:num w:numId="140" w16cid:durableId="257909935">
    <w:abstractNumId w:val="140"/>
  </w:num>
  <w:num w:numId="141" w16cid:durableId="531841730">
    <w:abstractNumId w:val="2"/>
  </w:num>
  <w:num w:numId="142" w16cid:durableId="16848233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78635759">
    <w:abstractNumId w:val="73"/>
  </w:num>
  <w:num w:numId="144" w16cid:durableId="948469753">
    <w:abstractNumId w:val="148"/>
  </w:num>
  <w:num w:numId="145" w16cid:durableId="1286428327">
    <w:abstractNumId w:val="53"/>
  </w:num>
  <w:num w:numId="146" w16cid:durableId="1816558669">
    <w:abstractNumId w:val="158"/>
  </w:num>
  <w:num w:numId="147" w16cid:durableId="1081097050">
    <w:abstractNumId w:val="35"/>
  </w:num>
  <w:num w:numId="148" w16cid:durableId="1625117836">
    <w:abstractNumId w:val="117"/>
  </w:num>
  <w:num w:numId="149" w16cid:durableId="426269821">
    <w:abstractNumId w:val="111"/>
  </w:num>
  <w:num w:numId="150" w16cid:durableId="1621298138">
    <w:abstractNumId w:val="79"/>
  </w:num>
  <w:num w:numId="151" w16cid:durableId="1160384088">
    <w:abstractNumId w:val="95"/>
  </w:num>
  <w:num w:numId="152" w16cid:durableId="2076006024">
    <w:abstractNumId w:val="91"/>
  </w:num>
  <w:num w:numId="153" w16cid:durableId="419059305">
    <w:abstractNumId w:val="104"/>
  </w:num>
  <w:num w:numId="154" w16cid:durableId="162160144">
    <w:abstractNumId w:val="134"/>
  </w:num>
  <w:num w:numId="155" w16cid:durableId="1132867786">
    <w:abstractNumId w:val="33"/>
  </w:num>
  <w:num w:numId="156" w16cid:durableId="2015180879">
    <w:abstractNumId w:val="12"/>
  </w:num>
  <w:num w:numId="157" w16cid:durableId="1990089716">
    <w:abstractNumId w:val="21"/>
  </w:num>
  <w:num w:numId="158" w16cid:durableId="117990976">
    <w:abstractNumId w:val="43"/>
  </w:num>
  <w:num w:numId="159" w16cid:durableId="976491618">
    <w:abstractNumId w:val="78"/>
  </w:num>
  <w:num w:numId="160" w16cid:durableId="1550875844">
    <w:abstractNumId w:val="93"/>
  </w:num>
  <w:num w:numId="161" w16cid:durableId="681929252">
    <w:abstractNumId w:val="165"/>
  </w:num>
  <w:num w:numId="162" w16cid:durableId="232930481">
    <w:abstractNumId w:val="109"/>
  </w:num>
  <w:num w:numId="163" w16cid:durableId="780993106">
    <w:abstractNumId w:val="67"/>
  </w:num>
  <w:num w:numId="164" w16cid:durableId="157237847">
    <w:abstractNumId w:val="11"/>
  </w:num>
  <w:num w:numId="165" w16cid:durableId="2066827454">
    <w:abstractNumId w:val="150"/>
  </w:num>
  <w:num w:numId="166" w16cid:durableId="56326710">
    <w:abstractNumId w:val="128"/>
  </w:num>
  <w:num w:numId="167" w16cid:durableId="2093157763">
    <w:abstractNumId w:val="119"/>
  </w:num>
  <w:num w:numId="168" w16cid:durableId="1809392748">
    <w:abstractNumId w:val="76"/>
  </w:num>
  <w:num w:numId="169" w16cid:durableId="98913673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041973286">
    <w:abstractNumId w:val="147"/>
  </w:num>
  <w:num w:numId="171" w16cid:durableId="1898008910">
    <w:abstractNumId w:val="121"/>
  </w:num>
  <w:num w:numId="172" w16cid:durableId="697701462">
    <w:abstractNumId w:val="141"/>
  </w:num>
  <w:num w:numId="173" w16cid:durableId="1993370627">
    <w:abstractNumId w:val="8"/>
  </w:num>
  <w:num w:numId="174" w16cid:durableId="536282499">
    <w:abstractNumId w:val="144"/>
  </w:num>
  <w:num w:numId="175" w16cid:durableId="1248803327">
    <w:abstractNumId w:val="116"/>
  </w:num>
  <w:num w:numId="176" w16cid:durableId="1446540438">
    <w:abstractNumId w:val="129"/>
  </w:num>
  <w:num w:numId="177" w16cid:durableId="1026832167">
    <w:abstractNumId w:val="18"/>
  </w:num>
  <w:num w:numId="178" w16cid:durableId="759453182">
    <w:abstractNumId w:val="7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readOnly" w:enforcement="1"/>
  <w:defaultTabStop w:val="720"/>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E5A"/>
    <w:rsid w:val="00010F76"/>
    <w:rsid w:val="00011591"/>
    <w:rsid w:val="00011652"/>
    <w:rsid w:val="000118A4"/>
    <w:rsid w:val="000118BB"/>
    <w:rsid w:val="00011E74"/>
    <w:rsid w:val="000137C9"/>
    <w:rsid w:val="00014E95"/>
    <w:rsid w:val="00015AF5"/>
    <w:rsid w:val="0002081D"/>
    <w:rsid w:val="00021719"/>
    <w:rsid w:val="00025B9C"/>
    <w:rsid w:val="00027322"/>
    <w:rsid w:val="00037386"/>
    <w:rsid w:val="000377C1"/>
    <w:rsid w:val="00040B70"/>
    <w:rsid w:val="000438A2"/>
    <w:rsid w:val="00045E31"/>
    <w:rsid w:val="000463C1"/>
    <w:rsid w:val="000559BA"/>
    <w:rsid w:val="0006217A"/>
    <w:rsid w:val="00070985"/>
    <w:rsid w:val="00071AC2"/>
    <w:rsid w:val="000757EB"/>
    <w:rsid w:val="000759AE"/>
    <w:rsid w:val="0007702E"/>
    <w:rsid w:val="000838C2"/>
    <w:rsid w:val="00083B67"/>
    <w:rsid w:val="00083DB0"/>
    <w:rsid w:val="00083FFC"/>
    <w:rsid w:val="000852BF"/>
    <w:rsid w:val="000863FE"/>
    <w:rsid w:val="00090EFE"/>
    <w:rsid w:val="000935CF"/>
    <w:rsid w:val="000937C2"/>
    <w:rsid w:val="00093AD4"/>
    <w:rsid w:val="00096364"/>
    <w:rsid w:val="00096704"/>
    <w:rsid w:val="00097560"/>
    <w:rsid w:val="000A0CCD"/>
    <w:rsid w:val="000A3116"/>
    <w:rsid w:val="000A3AA3"/>
    <w:rsid w:val="000A3B7B"/>
    <w:rsid w:val="000A648C"/>
    <w:rsid w:val="000B1627"/>
    <w:rsid w:val="000B21D0"/>
    <w:rsid w:val="000B3060"/>
    <w:rsid w:val="000B30CB"/>
    <w:rsid w:val="000B310E"/>
    <w:rsid w:val="000B3E8D"/>
    <w:rsid w:val="000B414C"/>
    <w:rsid w:val="000B47BC"/>
    <w:rsid w:val="000B4FA2"/>
    <w:rsid w:val="000B54E8"/>
    <w:rsid w:val="000B758E"/>
    <w:rsid w:val="000B7916"/>
    <w:rsid w:val="000C0288"/>
    <w:rsid w:val="000C0EE2"/>
    <w:rsid w:val="000C1B7C"/>
    <w:rsid w:val="000C3BED"/>
    <w:rsid w:val="000C4F66"/>
    <w:rsid w:val="000C5606"/>
    <w:rsid w:val="000C67B5"/>
    <w:rsid w:val="000D0083"/>
    <w:rsid w:val="000D19A5"/>
    <w:rsid w:val="000D3EF8"/>
    <w:rsid w:val="000D46DF"/>
    <w:rsid w:val="000D4FED"/>
    <w:rsid w:val="000D562B"/>
    <w:rsid w:val="000D7B2E"/>
    <w:rsid w:val="000E25AE"/>
    <w:rsid w:val="000E3071"/>
    <w:rsid w:val="000E34E4"/>
    <w:rsid w:val="000E4EEF"/>
    <w:rsid w:val="000F3432"/>
    <w:rsid w:val="000F38EB"/>
    <w:rsid w:val="001038AA"/>
    <w:rsid w:val="00104C52"/>
    <w:rsid w:val="001059FA"/>
    <w:rsid w:val="00105A9B"/>
    <w:rsid w:val="0010601A"/>
    <w:rsid w:val="00111C6C"/>
    <w:rsid w:val="00113852"/>
    <w:rsid w:val="001146F7"/>
    <w:rsid w:val="00114BC6"/>
    <w:rsid w:val="0011523B"/>
    <w:rsid w:val="001152A6"/>
    <w:rsid w:val="001169E7"/>
    <w:rsid w:val="00121348"/>
    <w:rsid w:val="00122E86"/>
    <w:rsid w:val="00123AF9"/>
    <w:rsid w:val="0012530E"/>
    <w:rsid w:val="00125E25"/>
    <w:rsid w:val="0013056B"/>
    <w:rsid w:val="00131771"/>
    <w:rsid w:val="0013231E"/>
    <w:rsid w:val="0013375D"/>
    <w:rsid w:val="00140B56"/>
    <w:rsid w:val="0014432D"/>
    <w:rsid w:val="001470E9"/>
    <w:rsid w:val="00150E79"/>
    <w:rsid w:val="00151224"/>
    <w:rsid w:val="00152458"/>
    <w:rsid w:val="00153055"/>
    <w:rsid w:val="001609EB"/>
    <w:rsid w:val="0016501A"/>
    <w:rsid w:val="001669E6"/>
    <w:rsid w:val="00166FF3"/>
    <w:rsid w:val="00170828"/>
    <w:rsid w:val="0017127B"/>
    <w:rsid w:val="001774C3"/>
    <w:rsid w:val="00184271"/>
    <w:rsid w:val="00186531"/>
    <w:rsid w:val="00193A9A"/>
    <w:rsid w:val="0019539F"/>
    <w:rsid w:val="00197D03"/>
    <w:rsid w:val="001A0105"/>
    <w:rsid w:val="001A174B"/>
    <w:rsid w:val="001A462B"/>
    <w:rsid w:val="001A6DE7"/>
    <w:rsid w:val="001B04F2"/>
    <w:rsid w:val="001B1B04"/>
    <w:rsid w:val="001B1D90"/>
    <w:rsid w:val="001B77BD"/>
    <w:rsid w:val="001C01E0"/>
    <w:rsid w:val="001C2C4E"/>
    <w:rsid w:val="001C2D14"/>
    <w:rsid w:val="001C78BF"/>
    <w:rsid w:val="001D0BE9"/>
    <w:rsid w:val="001D2366"/>
    <w:rsid w:val="001D26E2"/>
    <w:rsid w:val="001D429D"/>
    <w:rsid w:val="001D485E"/>
    <w:rsid w:val="001D5F85"/>
    <w:rsid w:val="001D7033"/>
    <w:rsid w:val="001D7230"/>
    <w:rsid w:val="001D785F"/>
    <w:rsid w:val="001E1A87"/>
    <w:rsid w:val="001E2232"/>
    <w:rsid w:val="001E357C"/>
    <w:rsid w:val="001E3D7A"/>
    <w:rsid w:val="001E43EB"/>
    <w:rsid w:val="001F3AE3"/>
    <w:rsid w:val="001F6C2F"/>
    <w:rsid w:val="002006D5"/>
    <w:rsid w:val="00202492"/>
    <w:rsid w:val="002032AA"/>
    <w:rsid w:val="00210266"/>
    <w:rsid w:val="002137D6"/>
    <w:rsid w:val="00216B5F"/>
    <w:rsid w:val="0021746E"/>
    <w:rsid w:val="00220F3C"/>
    <w:rsid w:val="0022103A"/>
    <w:rsid w:val="00223DC7"/>
    <w:rsid w:val="00224813"/>
    <w:rsid w:val="00224928"/>
    <w:rsid w:val="00224EAD"/>
    <w:rsid w:val="002356BF"/>
    <w:rsid w:val="00235CAF"/>
    <w:rsid w:val="0023644F"/>
    <w:rsid w:val="00236574"/>
    <w:rsid w:val="002525BD"/>
    <w:rsid w:val="00253447"/>
    <w:rsid w:val="002536B2"/>
    <w:rsid w:val="00255417"/>
    <w:rsid w:val="00256EBA"/>
    <w:rsid w:val="0025707C"/>
    <w:rsid w:val="00257233"/>
    <w:rsid w:val="00264B5A"/>
    <w:rsid w:val="002672D0"/>
    <w:rsid w:val="002702CC"/>
    <w:rsid w:val="00275566"/>
    <w:rsid w:val="00276EDA"/>
    <w:rsid w:val="00284EF2"/>
    <w:rsid w:val="002867C0"/>
    <w:rsid w:val="002924AF"/>
    <w:rsid w:val="002926C8"/>
    <w:rsid w:val="00294A38"/>
    <w:rsid w:val="00295AEA"/>
    <w:rsid w:val="002A3F44"/>
    <w:rsid w:val="002A6BAA"/>
    <w:rsid w:val="002A7B01"/>
    <w:rsid w:val="002B326E"/>
    <w:rsid w:val="002B3EDE"/>
    <w:rsid w:val="002B6ACF"/>
    <w:rsid w:val="002C1050"/>
    <w:rsid w:val="002C3CBD"/>
    <w:rsid w:val="002C59C3"/>
    <w:rsid w:val="002C6F45"/>
    <w:rsid w:val="002C6FD3"/>
    <w:rsid w:val="002D2A84"/>
    <w:rsid w:val="002D7377"/>
    <w:rsid w:val="002E2536"/>
    <w:rsid w:val="002E2E8A"/>
    <w:rsid w:val="002F6BFB"/>
    <w:rsid w:val="002F6C81"/>
    <w:rsid w:val="00302EC1"/>
    <w:rsid w:val="00305522"/>
    <w:rsid w:val="00305654"/>
    <w:rsid w:val="003068D4"/>
    <w:rsid w:val="003073A1"/>
    <w:rsid w:val="003102F5"/>
    <w:rsid w:val="00313C04"/>
    <w:rsid w:val="0031419B"/>
    <w:rsid w:val="003157D8"/>
    <w:rsid w:val="00315A55"/>
    <w:rsid w:val="003162AD"/>
    <w:rsid w:val="00323E82"/>
    <w:rsid w:val="003245DE"/>
    <w:rsid w:val="00325B70"/>
    <w:rsid w:val="00340344"/>
    <w:rsid w:val="00346E1C"/>
    <w:rsid w:val="00351B74"/>
    <w:rsid w:val="00353583"/>
    <w:rsid w:val="00353AEF"/>
    <w:rsid w:val="003575C1"/>
    <w:rsid w:val="00360E38"/>
    <w:rsid w:val="00362AD9"/>
    <w:rsid w:val="00366B99"/>
    <w:rsid w:val="003726D6"/>
    <w:rsid w:val="00372858"/>
    <w:rsid w:val="00385677"/>
    <w:rsid w:val="0038577C"/>
    <w:rsid w:val="003861AC"/>
    <w:rsid w:val="003907DA"/>
    <w:rsid w:val="00390A23"/>
    <w:rsid w:val="003937DE"/>
    <w:rsid w:val="003977CF"/>
    <w:rsid w:val="003A0C49"/>
    <w:rsid w:val="003A0FE2"/>
    <w:rsid w:val="003A4A0D"/>
    <w:rsid w:val="003A78C8"/>
    <w:rsid w:val="003A7DE6"/>
    <w:rsid w:val="003A7ECA"/>
    <w:rsid w:val="003B08B9"/>
    <w:rsid w:val="003B253E"/>
    <w:rsid w:val="003B7EBF"/>
    <w:rsid w:val="003C2392"/>
    <w:rsid w:val="003C275D"/>
    <w:rsid w:val="003C3235"/>
    <w:rsid w:val="003C334F"/>
    <w:rsid w:val="003C455D"/>
    <w:rsid w:val="003D0E21"/>
    <w:rsid w:val="003D225A"/>
    <w:rsid w:val="003D257B"/>
    <w:rsid w:val="003D3F85"/>
    <w:rsid w:val="003D51FC"/>
    <w:rsid w:val="003E033A"/>
    <w:rsid w:val="003E0EC4"/>
    <w:rsid w:val="003E1DA2"/>
    <w:rsid w:val="003E4EEB"/>
    <w:rsid w:val="003F0DEA"/>
    <w:rsid w:val="003F6211"/>
    <w:rsid w:val="003F6C9D"/>
    <w:rsid w:val="003F723E"/>
    <w:rsid w:val="003F7E80"/>
    <w:rsid w:val="004022BC"/>
    <w:rsid w:val="004025F4"/>
    <w:rsid w:val="00404521"/>
    <w:rsid w:val="004103DD"/>
    <w:rsid w:val="004131B8"/>
    <w:rsid w:val="004143FE"/>
    <w:rsid w:val="00417197"/>
    <w:rsid w:val="00417CAB"/>
    <w:rsid w:val="00424F85"/>
    <w:rsid w:val="00426C66"/>
    <w:rsid w:val="00427496"/>
    <w:rsid w:val="00430B53"/>
    <w:rsid w:val="00431B6A"/>
    <w:rsid w:val="004351FD"/>
    <w:rsid w:val="00437B41"/>
    <w:rsid w:val="00440EE8"/>
    <w:rsid w:val="004438C1"/>
    <w:rsid w:val="00444744"/>
    <w:rsid w:val="00445AC7"/>
    <w:rsid w:val="004565FF"/>
    <w:rsid w:val="00461DA8"/>
    <w:rsid w:val="004634A7"/>
    <w:rsid w:val="004652D2"/>
    <w:rsid w:val="00470706"/>
    <w:rsid w:val="00470806"/>
    <w:rsid w:val="00471DA7"/>
    <w:rsid w:val="00472A96"/>
    <w:rsid w:val="00474D17"/>
    <w:rsid w:val="00474F80"/>
    <w:rsid w:val="00476C0A"/>
    <w:rsid w:val="004806C3"/>
    <w:rsid w:val="00483386"/>
    <w:rsid w:val="004836A4"/>
    <w:rsid w:val="00483704"/>
    <w:rsid w:val="00486CC3"/>
    <w:rsid w:val="004871EF"/>
    <w:rsid w:val="00493D28"/>
    <w:rsid w:val="00496A15"/>
    <w:rsid w:val="00497465"/>
    <w:rsid w:val="004A615E"/>
    <w:rsid w:val="004A646B"/>
    <w:rsid w:val="004A66B6"/>
    <w:rsid w:val="004B0672"/>
    <w:rsid w:val="004B26BE"/>
    <w:rsid w:val="004B4146"/>
    <w:rsid w:val="004C2D4A"/>
    <w:rsid w:val="004C39D8"/>
    <w:rsid w:val="004C46AB"/>
    <w:rsid w:val="004C4A43"/>
    <w:rsid w:val="004C4FA0"/>
    <w:rsid w:val="004C56E6"/>
    <w:rsid w:val="004C6BE5"/>
    <w:rsid w:val="004D1AF6"/>
    <w:rsid w:val="004D2D3F"/>
    <w:rsid w:val="004D47D3"/>
    <w:rsid w:val="004D6304"/>
    <w:rsid w:val="004D7D60"/>
    <w:rsid w:val="004E74A0"/>
    <w:rsid w:val="004F3D3B"/>
    <w:rsid w:val="004F47F4"/>
    <w:rsid w:val="004F58D6"/>
    <w:rsid w:val="004F76D3"/>
    <w:rsid w:val="0050268B"/>
    <w:rsid w:val="00504B30"/>
    <w:rsid w:val="00505158"/>
    <w:rsid w:val="00510A5F"/>
    <w:rsid w:val="005113FA"/>
    <w:rsid w:val="00512C30"/>
    <w:rsid w:val="005131A6"/>
    <w:rsid w:val="00513796"/>
    <w:rsid w:val="0051572F"/>
    <w:rsid w:val="0052140F"/>
    <w:rsid w:val="005304F8"/>
    <w:rsid w:val="005326F4"/>
    <w:rsid w:val="00534B86"/>
    <w:rsid w:val="00543230"/>
    <w:rsid w:val="0054455D"/>
    <w:rsid w:val="0054473D"/>
    <w:rsid w:val="00547D90"/>
    <w:rsid w:val="00550146"/>
    <w:rsid w:val="00551024"/>
    <w:rsid w:val="00552333"/>
    <w:rsid w:val="0055651B"/>
    <w:rsid w:val="00557C7C"/>
    <w:rsid w:val="00557D83"/>
    <w:rsid w:val="00557ED0"/>
    <w:rsid w:val="00560356"/>
    <w:rsid w:val="00570C61"/>
    <w:rsid w:val="00572D17"/>
    <w:rsid w:val="005754C0"/>
    <w:rsid w:val="00577F23"/>
    <w:rsid w:val="005813B7"/>
    <w:rsid w:val="005825B7"/>
    <w:rsid w:val="00587DE9"/>
    <w:rsid w:val="00587EF8"/>
    <w:rsid w:val="005901C5"/>
    <w:rsid w:val="005903E2"/>
    <w:rsid w:val="00592C48"/>
    <w:rsid w:val="00595416"/>
    <w:rsid w:val="00596AD4"/>
    <w:rsid w:val="005A0B93"/>
    <w:rsid w:val="005A1633"/>
    <w:rsid w:val="005A2A7D"/>
    <w:rsid w:val="005A48FD"/>
    <w:rsid w:val="005A49E9"/>
    <w:rsid w:val="005A52B1"/>
    <w:rsid w:val="005B364F"/>
    <w:rsid w:val="005B47AE"/>
    <w:rsid w:val="005B6C92"/>
    <w:rsid w:val="005C2939"/>
    <w:rsid w:val="005C4DC3"/>
    <w:rsid w:val="005C52A3"/>
    <w:rsid w:val="005C675A"/>
    <w:rsid w:val="005C7E68"/>
    <w:rsid w:val="005D2B98"/>
    <w:rsid w:val="005E166C"/>
    <w:rsid w:val="005E4F10"/>
    <w:rsid w:val="005E71F2"/>
    <w:rsid w:val="005E72FB"/>
    <w:rsid w:val="005F0E8B"/>
    <w:rsid w:val="005F2F06"/>
    <w:rsid w:val="005F77FF"/>
    <w:rsid w:val="00602B9A"/>
    <w:rsid w:val="00603585"/>
    <w:rsid w:val="00603638"/>
    <w:rsid w:val="00607C6B"/>
    <w:rsid w:val="0061043A"/>
    <w:rsid w:val="006125F3"/>
    <w:rsid w:val="00613074"/>
    <w:rsid w:val="00613CCD"/>
    <w:rsid w:val="00617319"/>
    <w:rsid w:val="00621762"/>
    <w:rsid w:val="00626A2F"/>
    <w:rsid w:val="006308C8"/>
    <w:rsid w:val="00630B73"/>
    <w:rsid w:val="00643378"/>
    <w:rsid w:val="00654806"/>
    <w:rsid w:val="006563B9"/>
    <w:rsid w:val="00662116"/>
    <w:rsid w:val="00664384"/>
    <w:rsid w:val="006643A4"/>
    <w:rsid w:val="0066459E"/>
    <w:rsid w:val="00664919"/>
    <w:rsid w:val="0066548E"/>
    <w:rsid w:val="00672A09"/>
    <w:rsid w:val="00672B9B"/>
    <w:rsid w:val="00674E85"/>
    <w:rsid w:val="0067599D"/>
    <w:rsid w:val="00676056"/>
    <w:rsid w:val="00677D4B"/>
    <w:rsid w:val="00680132"/>
    <w:rsid w:val="00680C97"/>
    <w:rsid w:val="0068188F"/>
    <w:rsid w:val="0068446C"/>
    <w:rsid w:val="006A6291"/>
    <w:rsid w:val="006A7426"/>
    <w:rsid w:val="006B082C"/>
    <w:rsid w:val="006B1078"/>
    <w:rsid w:val="006B1A00"/>
    <w:rsid w:val="006B1A5F"/>
    <w:rsid w:val="006B2B08"/>
    <w:rsid w:val="006B7EAD"/>
    <w:rsid w:val="006C08E1"/>
    <w:rsid w:val="006C19F5"/>
    <w:rsid w:val="006C54BD"/>
    <w:rsid w:val="006C71D0"/>
    <w:rsid w:val="006C7B00"/>
    <w:rsid w:val="006D1F03"/>
    <w:rsid w:val="006E0F9A"/>
    <w:rsid w:val="006E1732"/>
    <w:rsid w:val="006E2BA5"/>
    <w:rsid w:val="006E5FB1"/>
    <w:rsid w:val="006E70FE"/>
    <w:rsid w:val="006F68E5"/>
    <w:rsid w:val="006F6F64"/>
    <w:rsid w:val="00700383"/>
    <w:rsid w:val="00703832"/>
    <w:rsid w:val="00711633"/>
    <w:rsid w:val="00712B1B"/>
    <w:rsid w:val="00717BD9"/>
    <w:rsid w:val="00722A5F"/>
    <w:rsid w:val="00723CED"/>
    <w:rsid w:val="007254CB"/>
    <w:rsid w:val="00726B6E"/>
    <w:rsid w:val="00727109"/>
    <w:rsid w:val="007275D1"/>
    <w:rsid w:val="00732738"/>
    <w:rsid w:val="00737B03"/>
    <w:rsid w:val="00746090"/>
    <w:rsid w:val="00747805"/>
    <w:rsid w:val="00753524"/>
    <w:rsid w:val="00761374"/>
    <w:rsid w:val="0076180F"/>
    <w:rsid w:val="00762A2B"/>
    <w:rsid w:val="0076335A"/>
    <w:rsid w:val="0076503C"/>
    <w:rsid w:val="007658F1"/>
    <w:rsid w:val="00770708"/>
    <w:rsid w:val="00780420"/>
    <w:rsid w:val="00787A0D"/>
    <w:rsid w:val="0079429B"/>
    <w:rsid w:val="00794C58"/>
    <w:rsid w:val="007A1573"/>
    <w:rsid w:val="007A3DDB"/>
    <w:rsid w:val="007A588B"/>
    <w:rsid w:val="007A79F5"/>
    <w:rsid w:val="007B27F1"/>
    <w:rsid w:val="007B31A5"/>
    <w:rsid w:val="007B40F0"/>
    <w:rsid w:val="007C2492"/>
    <w:rsid w:val="007C2C1F"/>
    <w:rsid w:val="007C45D4"/>
    <w:rsid w:val="007C6052"/>
    <w:rsid w:val="007D14D6"/>
    <w:rsid w:val="007D78CA"/>
    <w:rsid w:val="007D7BF3"/>
    <w:rsid w:val="007E0E82"/>
    <w:rsid w:val="007E1120"/>
    <w:rsid w:val="007E1A87"/>
    <w:rsid w:val="007E3496"/>
    <w:rsid w:val="007E4EA3"/>
    <w:rsid w:val="007E538B"/>
    <w:rsid w:val="007E5E0E"/>
    <w:rsid w:val="007E6548"/>
    <w:rsid w:val="007E6FB7"/>
    <w:rsid w:val="007F115D"/>
    <w:rsid w:val="0080093E"/>
    <w:rsid w:val="00803F2C"/>
    <w:rsid w:val="00812BE5"/>
    <w:rsid w:val="00813AB0"/>
    <w:rsid w:val="00814742"/>
    <w:rsid w:val="00814888"/>
    <w:rsid w:val="00821555"/>
    <w:rsid w:val="008218BB"/>
    <w:rsid w:val="008224D2"/>
    <w:rsid w:val="008272C6"/>
    <w:rsid w:val="008313D5"/>
    <w:rsid w:val="00833DBE"/>
    <w:rsid w:val="00834096"/>
    <w:rsid w:val="00835C7F"/>
    <w:rsid w:val="00840A98"/>
    <w:rsid w:val="0084322F"/>
    <w:rsid w:val="008446A2"/>
    <w:rsid w:val="00846910"/>
    <w:rsid w:val="008528F4"/>
    <w:rsid w:val="00855C63"/>
    <w:rsid w:val="0085782B"/>
    <w:rsid w:val="0086005E"/>
    <w:rsid w:val="00860600"/>
    <w:rsid w:val="0086161D"/>
    <w:rsid w:val="00861804"/>
    <w:rsid w:val="00861FC7"/>
    <w:rsid w:val="008660BE"/>
    <w:rsid w:val="008667FB"/>
    <w:rsid w:val="008729F9"/>
    <w:rsid w:val="00876694"/>
    <w:rsid w:val="00876C04"/>
    <w:rsid w:val="008813CD"/>
    <w:rsid w:val="00883318"/>
    <w:rsid w:val="00886AA8"/>
    <w:rsid w:val="008871C0"/>
    <w:rsid w:val="00890E40"/>
    <w:rsid w:val="00892B86"/>
    <w:rsid w:val="0089417C"/>
    <w:rsid w:val="00894A62"/>
    <w:rsid w:val="00896B96"/>
    <w:rsid w:val="008A2AE4"/>
    <w:rsid w:val="008A2C42"/>
    <w:rsid w:val="008A5D0C"/>
    <w:rsid w:val="008A6E97"/>
    <w:rsid w:val="008B24BB"/>
    <w:rsid w:val="008C00BF"/>
    <w:rsid w:val="008C23ED"/>
    <w:rsid w:val="008C25B0"/>
    <w:rsid w:val="008C3F5F"/>
    <w:rsid w:val="008C72B9"/>
    <w:rsid w:val="008D18FF"/>
    <w:rsid w:val="008D24DE"/>
    <w:rsid w:val="008D643B"/>
    <w:rsid w:val="008D68E8"/>
    <w:rsid w:val="008E2AB2"/>
    <w:rsid w:val="008E60CA"/>
    <w:rsid w:val="008E69F6"/>
    <w:rsid w:val="008F0ED4"/>
    <w:rsid w:val="008F26DC"/>
    <w:rsid w:val="008F3555"/>
    <w:rsid w:val="0090113A"/>
    <w:rsid w:val="009013B0"/>
    <w:rsid w:val="00901479"/>
    <w:rsid w:val="009049CF"/>
    <w:rsid w:val="00910D54"/>
    <w:rsid w:val="009125B6"/>
    <w:rsid w:val="009149FD"/>
    <w:rsid w:val="009305EC"/>
    <w:rsid w:val="00934C25"/>
    <w:rsid w:val="00937064"/>
    <w:rsid w:val="00937F9A"/>
    <w:rsid w:val="009414DD"/>
    <w:rsid w:val="00944D30"/>
    <w:rsid w:val="00944EA8"/>
    <w:rsid w:val="00950104"/>
    <w:rsid w:val="00951743"/>
    <w:rsid w:val="00957195"/>
    <w:rsid w:val="0096068A"/>
    <w:rsid w:val="0096126F"/>
    <w:rsid w:val="009613D7"/>
    <w:rsid w:val="009646C6"/>
    <w:rsid w:val="00966F67"/>
    <w:rsid w:val="00970682"/>
    <w:rsid w:val="00970C8F"/>
    <w:rsid w:val="00970E55"/>
    <w:rsid w:val="009750A1"/>
    <w:rsid w:val="00977125"/>
    <w:rsid w:val="0098368E"/>
    <w:rsid w:val="00987F6F"/>
    <w:rsid w:val="009942F6"/>
    <w:rsid w:val="00994C45"/>
    <w:rsid w:val="009960EC"/>
    <w:rsid w:val="009966DA"/>
    <w:rsid w:val="009A1643"/>
    <w:rsid w:val="009A1D3B"/>
    <w:rsid w:val="009A2499"/>
    <w:rsid w:val="009A3878"/>
    <w:rsid w:val="009A4CBE"/>
    <w:rsid w:val="009A6E52"/>
    <w:rsid w:val="009B592A"/>
    <w:rsid w:val="009B5BBD"/>
    <w:rsid w:val="009C05D7"/>
    <w:rsid w:val="009D0EE9"/>
    <w:rsid w:val="009D2403"/>
    <w:rsid w:val="009D6CC6"/>
    <w:rsid w:val="009E0D86"/>
    <w:rsid w:val="009E1529"/>
    <w:rsid w:val="009E1942"/>
    <w:rsid w:val="009E3B00"/>
    <w:rsid w:val="009E5CB3"/>
    <w:rsid w:val="009E7715"/>
    <w:rsid w:val="009F3217"/>
    <w:rsid w:val="009F39CE"/>
    <w:rsid w:val="009F5F2D"/>
    <w:rsid w:val="009F7331"/>
    <w:rsid w:val="00A0146B"/>
    <w:rsid w:val="00A015A6"/>
    <w:rsid w:val="00A01706"/>
    <w:rsid w:val="00A01E27"/>
    <w:rsid w:val="00A03DE8"/>
    <w:rsid w:val="00A12D3D"/>
    <w:rsid w:val="00A16478"/>
    <w:rsid w:val="00A233F6"/>
    <w:rsid w:val="00A304A4"/>
    <w:rsid w:val="00A3144E"/>
    <w:rsid w:val="00A31F86"/>
    <w:rsid w:val="00A32575"/>
    <w:rsid w:val="00A372E4"/>
    <w:rsid w:val="00A408F5"/>
    <w:rsid w:val="00A42544"/>
    <w:rsid w:val="00A45C7A"/>
    <w:rsid w:val="00A538B6"/>
    <w:rsid w:val="00A54822"/>
    <w:rsid w:val="00A61F97"/>
    <w:rsid w:val="00A652BB"/>
    <w:rsid w:val="00A70D80"/>
    <w:rsid w:val="00A71F08"/>
    <w:rsid w:val="00A71FB6"/>
    <w:rsid w:val="00A7428F"/>
    <w:rsid w:val="00A75D52"/>
    <w:rsid w:val="00A8124A"/>
    <w:rsid w:val="00A81800"/>
    <w:rsid w:val="00A8286E"/>
    <w:rsid w:val="00A9021A"/>
    <w:rsid w:val="00A91544"/>
    <w:rsid w:val="00A91EE5"/>
    <w:rsid w:val="00A923C4"/>
    <w:rsid w:val="00A926A1"/>
    <w:rsid w:val="00A95835"/>
    <w:rsid w:val="00A960B0"/>
    <w:rsid w:val="00AA5CAF"/>
    <w:rsid w:val="00AA5D8D"/>
    <w:rsid w:val="00AA7CE1"/>
    <w:rsid w:val="00AB11CE"/>
    <w:rsid w:val="00AB1C70"/>
    <w:rsid w:val="00AB31BE"/>
    <w:rsid w:val="00AB63D9"/>
    <w:rsid w:val="00AB6583"/>
    <w:rsid w:val="00AB7231"/>
    <w:rsid w:val="00AC1EC8"/>
    <w:rsid w:val="00AC2BCB"/>
    <w:rsid w:val="00AC2E99"/>
    <w:rsid w:val="00AC2FE6"/>
    <w:rsid w:val="00AC638E"/>
    <w:rsid w:val="00AC7052"/>
    <w:rsid w:val="00AD00EB"/>
    <w:rsid w:val="00AD0484"/>
    <w:rsid w:val="00AE1F0E"/>
    <w:rsid w:val="00AE2EA0"/>
    <w:rsid w:val="00AF03F3"/>
    <w:rsid w:val="00AF25FC"/>
    <w:rsid w:val="00AF4952"/>
    <w:rsid w:val="00B003C4"/>
    <w:rsid w:val="00B00B69"/>
    <w:rsid w:val="00B00D08"/>
    <w:rsid w:val="00B0285B"/>
    <w:rsid w:val="00B0324D"/>
    <w:rsid w:val="00B06D21"/>
    <w:rsid w:val="00B117AA"/>
    <w:rsid w:val="00B13467"/>
    <w:rsid w:val="00B13611"/>
    <w:rsid w:val="00B145DA"/>
    <w:rsid w:val="00B15CF3"/>
    <w:rsid w:val="00B16E57"/>
    <w:rsid w:val="00B2071E"/>
    <w:rsid w:val="00B20BF1"/>
    <w:rsid w:val="00B20FCF"/>
    <w:rsid w:val="00B23519"/>
    <w:rsid w:val="00B25BAE"/>
    <w:rsid w:val="00B30F8D"/>
    <w:rsid w:val="00B326AA"/>
    <w:rsid w:val="00B34B0C"/>
    <w:rsid w:val="00B403EF"/>
    <w:rsid w:val="00B404C8"/>
    <w:rsid w:val="00B40B27"/>
    <w:rsid w:val="00B44AAC"/>
    <w:rsid w:val="00B44ACD"/>
    <w:rsid w:val="00B45A8F"/>
    <w:rsid w:val="00B461C2"/>
    <w:rsid w:val="00B53713"/>
    <w:rsid w:val="00B54C36"/>
    <w:rsid w:val="00B56E5D"/>
    <w:rsid w:val="00B57384"/>
    <w:rsid w:val="00B60225"/>
    <w:rsid w:val="00B63ADE"/>
    <w:rsid w:val="00B66B51"/>
    <w:rsid w:val="00B66DCF"/>
    <w:rsid w:val="00B747E9"/>
    <w:rsid w:val="00B7486D"/>
    <w:rsid w:val="00B7655F"/>
    <w:rsid w:val="00B833DB"/>
    <w:rsid w:val="00B840E0"/>
    <w:rsid w:val="00B858A2"/>
    <w:rsid w:val="00B87DF6"/>
    <w:rsid w:val="00B91C38"/>
    <w:rsid w:val="00B9358A"/>
    <w:rsid w:val="00B963E3"/>
    <w:rsid w:val="00B970D1"/>
    <w:rsid w:val="00BA1721"/>
    <w:rsid w:val="00BA24FC"/>
    <w:rsid w:val="00BA6272"/>
    <w:rsid w:val="00BB0FF8"/>
    <w:rsid w:val="00BB12D1"/>
    <w:rsid w:val="00BB1A8D"/>
    <w:rsid w:val="00BB1DB3"/>
    <w:rsid w:val="00BB334C"/>
    <w:rsid w:val="00BB58DB"/>
    <w:rsid w:val="00BC063D"/>
    <w:rsid w:val="00BC3876"/>
    <w:rsid w:val="00BC3FB3"/>
    <w:rsid w:val="00BC6870"/>
    <w:rsid w:val="00BD0F49"/>
    <w:rsid w:val="00BD195E"/>
    <w:rsid w:val="00BD2AB5"/>
    <w:rsid w:val="00BD35B7"/>
    <w:rsid w:val="00BD5759"/>
    <w:rsid w:val="00BD628A"/>
    <w:rsid w:val="00BE240F"/>
    <w:rsid w:val="00BE3ED5"/>
    <w:rsid w:val="00BE50D8"/>
    <w:rsid w:val="00BF0DA9"/>
    <w:rsid w:val="00BF2AF8"/>
    <w:rsid w:val="00BF5534"/>
    <w:rsid w:val="00BF7DD9"/>
    <w:rsid w:val="00C0030D"/>
    <w:rsid w:val="00C01597"/>
    <w:rsid w:val="00C02302"/>
    <w:rsid w:val="00C04C87"/>
    <w:rsid w:val="00C057BD"/>
    <w:rsid w:val="00C05F79"/>
    <w:rsid w:val="00C066DB"/>
    <w:rsid w:val="00C10DDB"/>
    <w:rsid w:val="00C131C9"/>
    <w:rsid w:val="00C13292"/>
    <w:rsid w:val="00C13481"/>
    <w:rsid w:val="00C140EA"/>
    <w:rsid w:val="00C23C25"/>
    <w:rsid w:val="00C24A5B"/>
    <w:rsid w:val="00C273F6"/>
    <w:rsid w:val="00C27ADA"/>
    <w:rsid w:val="00C37D77"/>
    <w:rsid w:val="00C42665"/>
    <w:rsid w:val="00C43CE1"/>
    <w:rsid w:val="00C47C26"/>
    <w:rsid w:val="00C51024"/>
    <w:rsid w:val="00C52A1E"/>
    <w:rsid w:val="00C5625B"/>
    <w:rsid w:val="00C57E01"/>
    <w:rsid w:val="00C60ADB"/>
    <w:rsid w:val="00C60C53"/>
    <w:rsid w:val="00C622AA"/>
    <w:rsid w:val="00C62C7E"/>
    <w:rsid w:val="00C62CB8"/>
    <w:rsid w:val="00C648E3"/>
    <w:rsid w:val="00C7098E"/>
    <w:rsid w:val="00C71B21"/>
    <w:rsid w:val="00C75621"/>
    <w:rsid w:val="00C81991"/>
    <w:rsid w:val="00C83044"/>
    <w:rsid w:val="00C84506"/>
    <w:rsid w:val="00C84CB3"/>
    <w:rsid w:val="00C84EBB"/>
    <w:rsid w:val="00C85EC0"/>
    <w:rsid w:val="00C86D6E"/>
    <w:rsid w:val="00C907A5"/>
    <w:rsid w:val="00C90D87"/>
    <w:rsid w:val="00C92037"/>
    <w:rsid w:val="00C93E72"/>
    <w:rsid w:val="00C97ADC"/>
    <w:rsid w:val="00CA0887"/>
    <w:rsid w:val="00CA21FA"/>
    <w:rsid w:val="00CA3422"/>
    <w:rsid w:val="00CA3D61"/>
    <w:rsid w:val="00CA43AE"/>
    <w:rsid w:val="00CA5FE3"/>
    <w:rsid w:val="00CB6436"/>
    <w:rsid w:val="00CB6E8B"/>
    <w:rsid w:val="00CB7FC4"/>
    <w:rsid w:val="00CC0B21"/>
    <w:rsid w:val="00CC1A0B"/>
    <w:rsid w:val="00CC3FD0"/>
    <w:rsid w:val="00CC4C61"/>
    <w:rsid w:val="00CC663D"/>
    <w:rsid w:val="00CC7A39"/>
    <w:rsid w:val="00CE0BE6"/>
    <w:rsid w:val="00CE237F"/>
    <w:rsid w:val="00CE2FFF"/>
    <w:rsid w:val="00CE6DBF"/>
    <w:rsid w:val="00CE7A45"/>
    <w:rsid w:val="00CF3A05"/>
    <w:rsid w:val="00D02EB9"/>
    <w:rsid w:val="00D032EA"/>
    <w:rsid w:val="00D033D5"/>
    <w:rsid w:val="00D03F24"/>
    <w:rsid w:val="00D04295"/>
    <w:rsid w:val="00D04BA5"/>
    <w:rsid w:val="00D05083"/>
    <w:rsid w:val="00D0563D"/>
    <w:rsid w:val="00D069A4"/>
    <w:rsid w:val="00D071FA"/>
    <w:rsid w:val="00D0768B"/>
    <w:rsid w:val="00D07D39"/>
    <w:rsid w:val="00D108FA"/>
    <w:rsid w:val="00D121BC"/>
    <w:rsid w:val="00D20026"/>
    <w:rsid w:val="00D207AF"/>
    <w:rsid w:val="00D32111"/>
    <w:rsid w:val="00D341E0"/>
    <w:rsid w:val="00D34F1D"/>
    <w:rsid w:val="00D3507C"/>
    <w:rsid w:val="00D37006"/>
    <w:rsid w:val="00D3789C"/>
    <w:rsid w:val="00D41C04"/>
    <w:rsid w:val="00D43EBE"/>
    <w:rsid w:val="00D441CB"/>
    <w:rsid w:val="00D46784"/>
    <w:rsid w:val="00D4740A"/>
    <w:rsid w:val="00D512B3"/>
    <w:rsid w:val="00D55DC1"/>
    <w:rsid w:val="00D5787B"/>
    <w:rsid w:val="00D61C17"/>
    <w:rsid w:val="00D62FF0"/>
    <w:rsid w:val="00D63DE8"/>
    <w:rsid w:val="00D646FC"/>
    <w:rsid w:val="00D70104"/>
    <w:rsid w:val="00D75728"/>
    <w:rsid w:val="00D800D8"/>
    <w:rsid w:val="00D8143B"/>
    <w:rsid w:val="00D82705"/>
    <w:rsid w:val="00D83DB8"/>
    <w:rsid w:val="00D85700"/>
    <w:rsid w:val="00D867A3"/>
    <w:rsid w:val="00D86E42"/>
    <w:rsid w:val="00D87076"/>
    <w:rsid w:val="00D87CC3"/>
    <w:rsid w:val="00D93F00"/>
    <w:rsid w:val="00D94F0B"/>
    <w:rsid w:val="00DA4183"/>
    <w:rsid w:val="00DB5257"/>
    <w:rsid w:val="00DB57CA"/>
    <w:rsid w:val="00DC063D"/>
    <w:rsid w:val="00DC1FB2"/>
    <w:rsid w:val="00DC1FE3"/>
    <w:rsid w:val="00DC22C4"/>
    <w:rsid w:val="00DC527E"/>
    <w:rsid w:val="00DD10CB"/>
    <w:rsid w:val="00DD320B"/>
    <w:rsid w:val="00DD3257"/>
    <w:rsid w:val="00DD4934"/>
    <w:rsid w:val="00DE1175"/>
    <w:rsid w:val="00DE1DE3"/>
    <w:rsid w:val="00DE4023"/>
    <w:rsid w:val="00DE6D5B"/>
    <w:rsid w:val="00DE7183"/>
    <w:rsid w:val="00DF0A87"/>
    <w:rsid w:val="00DF2488"/>
    <w:rsid w:val="00DF2699"/>
    <w:rsid w:val="00DF62C1"/>
    <w:rsid w:val="00E02122"/>
    <w:rsid w:val="00E03B71"/>
    <w:rsid w:val="00E0491F"/>
    <w:rsid w:val="00E12A59"/>
    <w:rsid w:val="00E13EE3"/>
    <w:rsid w:val="00E14515"/>
    <w:rsid w:val="00E14B62"/>
    <w:rsid w:val="00E211F0"/>
    <w:rsid w:val="00E21A01"/>
    <w:rsid w:val="00E21ADB"/>
    <w:rsid w:val="00E21BF9"/>
    <w:rsid w:val="00E21E33"/>
    <w:rsid w:val="00E21EE1"/>
    <w:rsid w:val="00E220A9"/>
    <w:rsid w:val="00E243A5"/>
    <w:rsid w:val="00E25A46"/>
    <w:rsid w:val="00E25AE0"/>
    <w:rsid w:val="00E25DE0"/>
    <w:rsid w:val="00E272CB"/>
    <w:rsid w:val="00E274A5"/>
    <w:rsid w:val="00E3608C"/>
    <w:rsid w:val="00E372DF"/>
    <w:rsid w:val="00E417DD"/>
    <w:rsid w:val="00E42AC6"/>
    <w:rsid w:val="00E4350A"/>
    <w:rsid w:val="00E45F3C"/>
    <w:rsid w:val="00E55C5B"/>
    <w:rsid w:val="00E55EFC"/>
    <w:rsid w:val="00E5601A"/>
    <w:rsid w:val="00E65C54"/>
    <w:rsid w:val="00E72B38"/>
    <w:rsid w:val="00E72EB6"/>
    <w:rsid w:val="00E74753"/>
    <w:rsid w:val="00E753FA"/>
    <w:rsid w:val="00E76C59"/>
    <w:rsid w:val="00E76E2C"/>
    <w:rsid w:val="00E816E9"/>
    <w:rsid w:val="00E82C57"/>
    <w:rsid w:val="00E830F1"/>
    <w:rsid w:val="00E83F3A"/>
    <w:rsid w:val="00E8446E"/>
    <w:rsid w:val="00E845EA"/>
    <w:rsid w:val="00E84C2A"/>
    <w:rsid w:val="00E850B5"/>
    <w:rsid w:val="00E86CFC"/>
    <w:rsid w:val="00E92B56"/>
    <w:rsid w:val="00E93DF0"/>
    <w:rsid w:val="00E943C3"/>
    <w:rsid w:val="00EA0285"/>
    <w:rsid w:val="00EA0DD8"/>
    <w:rsid w:val="00EA34DD"/>
    <w:rsid w:val="00EA34E6"/>
    <w:rsid w:val="00EA36FE"/>
    <w:rsid w:val="00EA7800"/>
    <w:rsid w:val="00EC0459"/>
    <w:rsid w:val="00EC06F6"/>
    <w:rsid w:val="00EC2676"/>
    <w:rsid w:val="00EC5988"/>
    <w:rsid w:val="00EC7E8D"/>
    <w:rsid w:val="00ED156C"/>
    <w:rsid w:val="00ED4566"/>
    <w:rsid w:val="00ED5062"/>
    <w:rsid w:val="00ED63E1"/>
    <w:rsid w:val="00EE04E4"/>
    <w:rsid w:val="00EE726F"/>
    <w:rsid w:val="00EF03C1"/>
    <w:rsid w:val="00EF4E46"/>
    <w:rsid w:val="00EF6563"/>
    <w:rsid w:val="00F00149"/>
    <w:rsid w:val="00F009A1"/>
    <w:rsid w:val="00F011BF"/>
    <w:rsid w:val="00F024FA"/>
    <w:rsid w:val="00F07C9D"/>
    <w:rsid w:val="00F10129"/>
    <w:rsid w:val="00F11831"/>
    <w:rsid w:val="00F166A1"/>
    <w:rsid w:val="00F172F8"/>
    <w:rsid w:val="00F21857"/>
    <w:rsid w:val="00F236E2"/>
    <w:rsid w:val="00F26361"/>
    <w:rsid w:val="00F26DB0"/>
    <w:rsid w:val="00F3043B"/>
    <w:rsid w:val="00F30813"/>
    <w:rsid w:val="00F336D7"/>
    <w:rsid w:val="00F33821"/>
    <w:rsid w:val="00F35F38"/>
    <w:rsid w:val="00F362EC"/>
    <w:rsid w:val="00F4101D"/>
    <w:rsid w:val="00F435B5"/>
    <w:rsid w:val="00F4482F"/>
    <w:rsid w:val="00F4631E"/>
    <w:rsid w:val="00F46D7A"/>
    <w:rsid w:val="00F47F96"/>
    <w:rsid w:val="00F53253"/>
    <w:rsid w:val="00F5446C"/>
    <w:rsid w:val="00F55F19"/>
    <w:rsid w:val="00F56C06"/>
    <w:rsid w:val="00F57D44"/>
    <w:rsid w:val="00F64345"/>
    <w:rsid w:val="00F65AEB"/>
    <w:rsid w:val="00F65ECA"/>
    <w:rsid w:val="00F66018"/>
    <w:rsid w:val="00F6632F"/>
    <w:rsid w:val="00F6798B"/>
    <w:rsid w:val="00F709A4"/>
    <w:rsid w:val="00F710C9"/>
    <w:rsid w:val="00F72FF1"/>
    <w:rsid w:val="00F76305"/>
    <w:rsid w:val="00F80A47"/>
    <w:rsid w:val="00F8195B"/>
    <w:rsid w:val="00F81DAD"/>
    <w:rsid w:val="00F83263"/>
    <w:rsid w:val="00F83BF8"/>
    <w:rsid w:val="00F83D1B"/>
    <w:rsid w:val="00F9149A"/>
    <w:rsid w:val="00F91626"/>
    <w:rsid w:val="00F92373"/>
    <w:rsid w:val="00F939E3"/>
    <w:rsid w:val="00F944A8"/>
    <w:rsid w:val="00F94FC6"/>
    <w:rsid w:val="00FA15B1"/>
    <w:rsid w:val="00FB27D7"/>
    <w:rsid w:val="00FB339B"/>
    <w:rsid w:val="00FB5B89"/>
    <w:rsid w:val="00FB6651"/>
    <w:rsid w:val="00FB70DE"/>
    <w:rsid w:val="00FC1997"/>
    <w:rsid w:val="00FC3011"/>
    <w:rsid w:val="00FC3215"/>
    <w:rsid w:val="00FC602E"/>
    <w:rsid w:val="00FD0654"/>
    <w:rsid w:val="00FD2153"/>
    <w:rsid w:val="00FD34CE"/>
    <w:rsid w:val="00FD6219"/>
    <w:rsid w:val="00FD6D4C"/>
    <w:rsid w:val="00FD7517"/>
    <w:rsid w:val="00FE400F"/>
    <w:rsid w:val="00FE440C"/>
    <w:rsid w:val="00FE6FBF"/>
    <w:rsid w:val="00FF0ED2"/>
    <w:rsid w:val="00FF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123F52D1"/>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9A"/>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3A5"/>
    <w:rPr>
      <w:b/>
      <w:sz w:val="28"/>
      <w:szCs w:val="28"/>
    </w:rPr>
  </w:style>
  <w:style w:type="character" w:customStyle="1" w:styleId="Heading2Char">
    <w:name w:val="Heading 2 Char"/>
    <w:basedOn w:val="DefaultParagraphFont"/>
    <w:link w:val="Heading2"/>
    <w:rsid w:val="00255417"/>
    <w:rPr>
      <w:rFonts w:ascii="Museo Slab 500" w:hAnsi="Museo Slab 500"/>
      <w:kern w:val="16"/>
      <w:sz w:val="28"/>
      <w:szCs w:val="28"/>
    </w:rPr>
  </w:style>
  <w:style w:type="character" w:customStyle="1" w:styleId="Heading3Char">
    <w:name w:val="Heading 3 Char"/>
    <w:basedOn w:val="DefaultParagraphFont"/>
    <w:link w:val="Heading3"/>
    <w:rsid w:val="00255417"/>
    <w:rPr>
      <w:rFonts w:ascii="Museo Slab 500" w:hAnsi="Museo Slab 500"/>
      <w:color w:val="C00000"/>
      <w:kern w:val="16"/>
      <w:sz w:val="28"/>
      <w:szCs w:val="28"/>
    </w:rPr>
  </w:style>
  <w:style w:type="character" w:customStyle="1" w:styleId="Heading4Char">
    <w:name w:val="Heading 4 Char"/>
    <w:basedOn w:val="DefaultParagraphFont"/>
    <w:link w:val="Heading4"/>
    <w:rsid w:val="00255417"/>
    <w:rPr>
      <w:rFonts w:ascii="Museo Slab 500" w:hAnsi="Museo Slab 500"/>
      <w:b/>
      <w:kern w:val="16"/>
    </w:rPr>
  </w:style>
  <w:style w:type="character" w:customStyle="1" w:styleId="Heading5Char">
    <w:name w:val="Heading 5 Char"/>
    <w:basedOn w:val="DefaultParagraphFont"/>
    <w:link w:val="Heading5"/>
    <w:rsid w:val="00255417"/>
    <w:rPr>
      <w:rFonts w:ascii="Museo Slab 500" w:hAnsi="Museo Slab 500"/>
      <w:kern w:val="16"/>
      <w:sz w:val="36"/>
      <w:szCs w:val="36"/>
    </w:rPr>
  </w:style>
  <w:style w:type="character" w:customStyle="1" w:styleId="Heading6Char">
    <w:name w:val="Heading 6 Char"/>
    <w:basedOn w:val="DefaultParagraphFont"/>
    <w:link w:val="Heading6"/>
    <w:rsid w:val="00C57E01"/>
    <w:rPr>
      <w:b/>
      <w:kern w:val="16"/>
      <w:sz w:val="28"/>
      <w:szCs w:val="28"/>
      <w:shd w:val="clear" w:color="auto" w:fill="000000" w:themeFill="text1"/>
    </w:rPr>
  </w:style>
  <w:style w:type="character" w:customStyle="1" w:styleId="Heading7Char">
    <w:name w:val="Heading 7 Char"/>
    <w:basedOn w:val="DefaultParagraphFont"/>
    <w:link w:val="Heading7"/>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D34F1D"/>
    <w:rPr>
      <w:b/>
      <w:kern w:val="16"/>
    </w:rPr>
  </w:style>
  <w:style w:type="character" w:customStyle="1" w:styleId="Heading9Char">
    <w:name w:val="Heading 9 Char"/>
    <w:basedOn w:val="DefaultParagraphFont"/>
    <w:link w:val="Heading9"/>
    <w:rsid w:val="006E70FE"/>
    <w:rPr>
      <w:kern w:val="16"/>
      <w:u w:val="single"/>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E65C54"/>
    <w:pPr>
      <w:spacing w:after="100"/>
      <w:ind w:left="220"/>
    </w:pPr>
  </w:style>
  <w:style w:type="paragraph" w:styleId="TOC3">
    <w:name w:val="toc 3"/>
    <w:basedOn w:val="Normal"/>
    <w:next w:val="Normal"/>
    <w:autoRedefine/>
    <w:uiPriority w:val="39"/>
    <w:unhideWhenUsed/>
    <w:qFormat/>
    <w:rsid w:val="00FB27D7"/>
    <w:pPr>
      <w:ind w:left="440"/>
    </w:pPr>
  </w:style>
  <w:style w:type="paragraph" w:styleId="TOC1">
    <w:name w:val="toc 1"/>
    <w:basedOn w:val="Normal"/>
    <w:next w:val="Normal"/>
    <w:autoRedefine/>
    <w:uiPriority w:val="39"/>
    <w:unhideWhenUsed/>
    <w:rsid w:val="00B00D08"/>
    <w:pPr>
      <w:spacing w:after="100"/>
    </w:pPr>
  </w:style>
  <w:style w:type="paragraph" w:styleId="BodyText">
    <w:name w:val="Body Text"/>
    <w:basedOn w:val="Normal"/>
    <w:link w:val="BodyTextChar"/>
    <w:unhideWhenUsed/>
    <w:rsid w:val="00547D90"/>
    <w:pPr>
      <w:spacing w:line="259" w:lineRule="auto"/>
      <w:contextualSpacing w:val="0"/>
    </w:pPr>
    <w:rPr>
      <w:b/>
    </w:rPr>
  </w:style>
  <w:style w:type="character" w:customStyle="1" w:styleId="BodyTextChar">
    <w:name w:val="Body Text Char"/>
    <w:basedOn w:val="DefaultParagraphFont"/>
    <w:link w:val="BodyText"/>
    <w:rsid w:val="00547D90"/>
    <w:rPr>
      <w:b/>
      <w:kern w:val="16"/>
    </w:rPr>
  </w:style>
  <w:style w:type="paragraph" w:styleId="BodyText2">
    <w:name w:val="Body Text 2"/>
    <w:basedOn w:val="Normal"/>
    <w:link w:val="BodyText2Char"/>
    <w:unhideWhenUsed/>
    <w:rsid w:val="006E70FE"/>
    <w:rPr>
      <w:b/>
      <w:color w:val="C00000"/>
    </w:rPr>
  </w:style>
  <w:style w:type="character" w:customStyle="1" w:styleId="BodyText2Char">
    <w:name w:val="Body Text 2 Char"/>
    <w:basedOn w:val="DefaultParagraphFont"/>
    <w:link w:val="BodyText2"/>
    <w:rsid w:val="006E70FE"/>
    <w:rPr>
      <w:b/>
      <w:color w:val="C00000"/>
      <w:kern w:val="16"/>
    </w:rPr>
  </w:style>
  <w:style w:type="character" w:styleId="CommentReference">
    <w:name w:val="annotation reference"/>
    <w:basedOn w:val="DefaultParagraphFont"/>
    <w:uiPriority w:val="99"/>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150E79"/>
    <w:rPr>
      <w:b/>
      <w:bCs/>
    </w:rPr>
  </w:style>
  <w:style w:type="character" w:customStyle="1" w:styleId="CommentSubjectChar">
    <w:name w:val="Comment Subject Char"/>
    <w:basedOn w:val="CommentTextChar"/>
    <w:link w:val="CommentSubject"/>
    <w:rsid w:val="00150E79"/>
    <w:rPr>
      <w:b/>
      <w:bCs/>
      <w:color w:val="262626" w:themeColor="text1" w:themeTint="D9"/>
      <w:kern w:val="16"/>
      <w:sz w:val="20"/>
      <w:szCs w:val="20"/>
    </w:rPr>
  </w:style>
  <w:style w:type="paragraph" w:styleId="BalloonText">
    <w:name w:val="Balloon Text"/>
    <w:basedOn w:val="Normal"/>
    <w:link w:val="BalloonTextChar"/>
    <w:unhideWhenUsed/>
    <w:rsid w:val="00150E79"/>
    <w:rPr>
      <w:rFonts w:ascii="Segoe UI" w:hAnsi="Segoe UI" w:cs="Segoe UI"/>
      <w:sz w:val="18"/>
      <w:szCs w:val="18"/>
    </w:rPr>
  </w:style>
  <w:style w:type="character" w:customStyle="1" w:styleId="BalloonTextChar">
    <w:name w:val="Balloon Text Char"/>
    <w:basedOn w:val="DefaultParagraphFont"/>
    <w:link w:val="BalloonText"/>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3068D4"/>
    <w:pPr>
      <w:spacing w:after="120"/>
      <w:ind w:left="360"/>
    </w:pPr>
  </w:style>
  <w:style w:type="character" w:customStyle="1" w:styleId="BodyTextIndentChar">
    <w:name w:val="Body Text Indent Char"/>
    <w:basedOn w:val="DefaultParagraphFont"/>
    <w:link w:val="BodyTextIndent"/>
    <w:rsid w:val="003068D4"/>
    <w:rPr>
      <w:color w:val="262626" w:themeColor="text1" w:themeTint="D9"/>
      <w:kern w:val="16"/>
    </w:rPr>
  </w:style>
  <w:style w:type="paragraph" w:customStyle="1" w:styleId="SubheadTrebuchet">
    <w:name w:val="Subhead Trebuchet"/>
    <w:basedOn w:val="Normal"/>
    <w:next w:val="Normal"/>
    <w:autoRedefine/>
    <w:qFormat/>
    <w:rsid w:val="00F65ECA"/>
    <w:pPr>
      <w:contextualSpacing w:val="0"/>
    </w:pPr>
    <w:rPr>
      <w:rFonts w:eastAsiaTheme="minorEastAsia"/>
      <w:color w:val="auto"/>
      <w:kern w:val="0"/>
      <w:u w:val="single"/>
    </w:rPr>
  </w:style>
  <w:style w:type="paragraph" w:styleId="Title">
    <w:name w:val="Title"/>
    <w:basedOn w:val="Normal"/>
    <w:link w:val="TitleChar"/>
    <w:qFormat/>
    <w:rsid w:val="004B067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4B067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4B067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2867C0"/>
    <w:rPr>
      <w:color w:val="605E5C"/>
      <w:shd w:val="clear" w:color="auto" w:fill="E1DFDD"/>
    </w:rPr>
  </w:style>
  <w:style w:type="paragraph" w:styleId="FootnoteText">
    <w:name w:val="footnote text"/>
    <w:basedOn w:val="Normal"/>
    <w:link w:val="FootnoteTextChar"/>
    <w:uiPriority w:val="99"/>
    <w:rsid w:val="006643A4"/>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6643A4"/>
    <w:rPr>
      <w:rFonts w:ascii="Courier" w:eastAsia="Times New Roman" w:hAnsi="Courier" w:cs="Times New Roman"/>
      <w:sz w:val="24"/>
      <w:szCs w:val="20"/>
      <w:lang w:val="x-none" w:eastAsia="x-none"/>
    </w:rPr>
  </w:style>
  <w:style w:type="character" w:styleId="FootnoteReference">
    <w:name w:val="footnote reference"/>
    <w:uiPriority w:val="99"/>
    <w:rsid w:val="006643A4"/>
    <w:rPr>
      <w:vertAlign w:val="superscript"/>
    </w:rPr>
  </w:style>
  <w:style w:type="character" w:styleId="FollowedHyperlink">
    <w:name w:val="FollowedHyperlink"/>
    <w:basedOn w:val="DefaultParagraphFont"/>
    <w:uiPriority w:val="99"/>
    <w:unhideWhenUsed/>
    <w:rsid w:val="007A1573"/>
    <w:rPr>
      <w:color w:val="954F72" w:themeColor="followedHyperlink"/>
      <w:u w:val="single"/>
    </w:rPr>
  </w:style>
  <w:style w:type="character" w:styleId="PageNumber">
    <w:name w:val="page number"/>
    <w:basedOn w:val="DefaultParagraphFont"/>
    <w:rsid w:val="007E6FB7"/>
  </w:style>
  <w:style w:type="paragraph" w:styleId="EndnoteText">
    <w:name w:val="endnote text"/>
    <w:basedOn w:val="Normal"/>
    <w:link w:val="EndnoteTextChar"/>
    <w:rsid w:val="007E6FB7"/>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7E6FB7"/>
    <w:rPr>
      <w:rFonts w:ascii="Courier" w:eastAsia="Times New Roman" w:hAnsi="Courier" w:cs="Times New Roman"/>
      <w:sz w:val="24"/>
      <w:szCs w:val="20"/>
      <w:lang w:val="x-none" w:eastAsia="x-none"/>
    </w:rPr>
  </w:style>
  <w:style w:type="character" w:customStyle="1" w:styleId="Document3">
    <w:name w:val="Document 3"/>
    <w:rsid w:val="007E6FB7"/>
    <w:rPr>
      <w:rFonts w:ascii="Courier" w:hAnsi="Courier"/>
      <w:noProof w:val="0"/>
      <w:sz w:val="24"/>
      <w:lang w:val="en-US"/>
    </w:rPr>
  </w:style>
  <w:style w:type="paragraph" w:styleId="BodyTextIndent2">
    <w:name w:val="Body Text Indent 2"/>
    <w:basedOn w:val="Normal"/>
    <w:link w:val="BodyTextIndent2Char"/>
    <w:rsid w:val="007E6FB7"/>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7E6FB7"/>
    <w:rPr>
      <w:rFonts w:ascii="Times New Roman" w:eastAsia="Times New Roman" w:hAnsi="Times New Roman" w:cs="Times New Roman"/>
      <w:sz w:val="24"/>
      <w:szCs w:val="24"/>
      <w:lang w:val="x-none" w:eastAsia="x-none"/>
    </w:rPr>
  </w:style>
  <w:style w:type="paragraph" w:customStyle="1" w:styleId="Technical4">
    <w:name w:val="Technical 4"/>
    <w:rsid w:val="007E6FB7"/>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7E6FB7"/>
    <w:pPr>
      <w:spacing w:line="271" w:lineRule="auto"/>
    </w:pPr>
    <w:rPr>
      <w:rFonts w:ascii="Arial" w:hAnsi="Arial" w:cs="Times New Roman"/>
      <w:color w:val="auto"/>
    </w:rPr>
  </w:style>
  <w:style w:type="paragraph" w:styleId="NormalWeb">
    <w:name w:val="Normal (Web)"/>
    <w:basedOn w:val="Normal"/>
    <w:uiPriority w:val="99"/>
    <w:unhideWhenUsed/>
    <w:rsid w:val="007E6FB7"/>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7E6FB7"/>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7E6FB7"/>
    <w:rPr>
      <w:rFonts w:ascii="Times New Roman" w:eastAsia="Times New Roman" w:hAnsi="Times New Roman" w:cs="Times New Roman"/>
      <w:sz w:val="16"/>
      <w:szCs w:val="16"/>
      <w:lang w:val="x-none" w:eastAsia="x-none"/>
    </w:rPr>
  </w:style>
  <w:style w:type="paragraph" w:customStyle="1" w:styleId="RightPar4">
    <w:name w:val="Right Par 4"/>
    <w:rsid w:val="007E6FB7"/>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qFormat/>
    <w:rsid w:val="007E6FB7"/>
    <w:rPr>
      <w:i/>
      <w:iCs/>
    </w:rPr>
  </w:style>
  <w:style w:type="character" w:styleId="EndnoteReference">
    <w:name w:val="endnote reference"/>
    <w:rsid w:val="007E6FB7"/>
    <w:rPr>
      <w:vertAlign w:val="superscript"/>
    </w:rPr>
  </w:style>
  <w:style w:type="character" w:customStyle="1" w:styleId="Document8">
    <w:name w:val="Document 8"/>
    <w:basedOn w:val="DefaultParagraphFont"/>
    <w:rsid w:val="007E6FB7"/>
  </w:style>
  <w:style w:type="character" w:customStyle="1" w:styleId="Document4">
    <w:name w:val="Document 4"/>
    <w:rsid w:val="007E6FB7"/>
    <w:rPr>
      <w:b/>
      <w:i/>
      <w:sz w:val="24"/>
    </w:rPr>
  </w:style>
  <w:style w:type="character" w:customStyle="1" w:styleId="Document6">
    <w:name w:val="Document 6"/>
    <w:basedOn w:val="DefaultParagraphFont"/>
    <w:rsid w:val="007E6FB7"/>
  </w:style>
  <w:style w:type="character" w:customStyle="1" w:styleId="Document5">
    <w:name w:val="Document 5"/>
    <w:basedOn w:val="DefaultParagraphFont"/>
    <w:rsid w:val="007E6FB7"/>
  </w:style>
  <w:style w:type="character" w:customStyle="1" w:styleId="Document2">
    <w:name w:val="Document 2"/>
    <w:rsid w:val="007E6FB7"/>
    <w:rPr>
      <w:rFonts w:ascii="Courier" w:hAnsi="Courier"/>
      <w:noProof w:val="0"/>
      <w:sz w:val="24"/>
      <w:lang w:val="en-US"/>
    </w:rPr>
  </w:style>
  <w:style w:type="character" w:customStyle="1" w:styleId="Document7">
    <w:name w:val="Document 7"/>
    <w:basedOn w:val="DefaultParagraphFont"/>
    <w:rsid w:val="007E6FB7"/>
  </w:style>
  <w:style w:type="character" w:customStyle="1" w:styleId="Bibliogrphy">
    <w:name w:val="Bibliogrphy"/>
    <w:basedOn w:val="DefaultParagraphFont"/>
    <w:rsid w:val="007E6FB7"/>
  </w:style>
  <w:style w:type="paragraph" w:customStyle="1" w:styleId="RightPar1">
    <w:name w:val="Right Par 1"/>
    <w:rsid w:val="007E6FB7"/>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7E6FB7"/>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7E6FB7"/>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7E6FB7"/>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7E6FB7"/>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7E6FB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7E6FB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7E6FB7"/>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7E6FB7"/>
  </w:style>
  <w:style w:type="character" w:customStyle="1" w:styleId="TechInit">
    <w:name w:val="Tech Init"/>
    <w:rsid w:val="007E6FB7"/>
    <w:rPr>
      <w:rFonts w:ascii="Courier" w:hAnsi="Courier"/>
      <w:noProof w:val="0"/>
      <w:sz w:val="24"/>
      <w:lang w:val="en-US"/>
    </w:rPr>
  </w:style>
  <w:style w:type="paragraph" w:customStyle="1" w:styleId="Technical5">
    <w:name w:val="Technical 5"/>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7E6FB7"/>
    <w:rPr>
      <w:rFonts w:ascii="Courier" w:hAnsi="Courier"/>
      <w:noProof w:val="0"/>
      <w:sz w:val="24"/>
      <w:lang w:val="en-US"/>
    </w:rPr>
  </w:style>
  <w:style w:type="character" w:customStyle="1" w:styleId="Technical3">
    <w:name w:val="Technical 3"/>
    <w:rsid w:val="007E6FB7"/>
    <w:rPr>
      <w:rFonts w:ascii="Courier" w:hAnsi="Courier"/>
      <w:noProof w:val="0"/>
      <w:sz w:val="24"/>
      <w:lang w:val="en-US"/>
    </w:rPr>
  </w:style>
  <w:style w:type="character" w:customStyle="1" w:styleId="Technical1">
    <w:name w:val="Technical 1"/>
    <w:rsid w:val="007E6FB7"/>
    <w:rPr>
      <w:rFonts w:ascii="Courier" w:hAnsi="Courier"/>
      <w:noProof w:val="0"/>
      <w:sz w:val="24"/>
      <w:lang w:val="en-US"/>
    </w:rPr>
  </w:style>
  <w:style w:type="paragraph" w:customStyle="1" w:styleId="Technical7">
    <w:name w:val="Technical 7"/>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E6FB7"/>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7E6FB7"/>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7E6FB7"/>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7E6FB7"/>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7E6FB7"/>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7E6FB7"/>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7E6FB7"/>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7E6FB7"/>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7E6FB7"/>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7E6FB7"/>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7E6FB7"/>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7E6FB7"/>
  </w:style>
  <w:style w:type="paragraph" w:styleId="DocumentMap">
    <w:name w:val="Document Map"/>
    <w:basedOn w:val="Normal"/>
    <w:link w:val="DocumentMapChar"/>
    <w:rsid w:val="007E6FB7"/>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7E6FB7"/>
    <w:rPr>
      <w:rFonts w:ascii="Tahoma" w:eastAsia="Times New Roman" w:hAnsi="Tahoma" w:cs="Times New Roman"/>
      <w:sz w:val="24"/>
      <w:szCs w:val="20"/>
      <w:shd w:val="clear" w:color="auto" w:fill="000080"/>
      <w:lang w:val="x-none" w:eastAsia="x-none"/>
    </w:rPr>
  </w:style>
  <w:style w:type="paragraph" w:styleId="List2">
    <w:name w:val="List 2"/>
    <w:basedOn w:val="Normal"/>
    <w:rsid w:val="007E6FB7"/>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7E6FB7"/>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7E6FB7"/>
    <w:rPr>
      <w:rFonts w:ascii="Arial" w:eastAsia="Times New Roman" w:hAnsi="Arial" w:cs="Times New Roman"/>
      <w:sz w:val="24"/>
      <w:szCs w:val="20"/>
      <w:lang w:val="x-none" w:eastAsia="x-none"/>
    </w:rPr>
  </w:style>
  <w:style w:type="paragraph" w:customStyle="1" w:styleId="xl22">
    <w:name w:val="xl22"/>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7E6FB7"/>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7E6FB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7E6FB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7E6FB7"/>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7E6FB7"/>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7E6FB7"/>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7E6FB7"/>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7E6FB7"/>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7E6FB7"/>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7E6FB7"/>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7E6FB7"/>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7E6FB7"/>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7E6FB7"/>
  </w:style>
  <w:style w:type="paragraph" w:customStyle="1" w:styleId="TableHeading">
    <w:name w:val="Table Heading"/>
    <w:basedOn w:val="Normal"/>
    <w:rsid w:val="007E6FB7"/>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7E6FB7"/>
    <w:pPr>
      <w:spacing w:line="211" w:lineRule="atLeast"/>
    </w:pPr>
    <w:rPr>
      <w:rFonts w:ascii="Interstate Regular" w:hAnsi="Interstate Regular" w:cs="Times New Roman"/>
      <w:color w:val="auto"/>
    </w:rPr>
  </w:style>
  <w:style w:type="character" w:customStyle="1" w:styleId="A2">
    <w:name w:val="A2"/>
    <w:uiPriority w:val="99"/>
    <w:rsid w:val="007E6FB7"/>
    <w:rPr>
      <w:rFonts w:cs="Interstate Regular"/>
      <w:color w:val="000000"/>
      <w:sz w:val="12"/>
      <w:szCs w:val="12"/>
    </w:rPr>
  </w:style>
  <w:style w:type="paragraph" w:styleId="Revision">
    <w:name w:val="Revision"/>
    <w:hidden/>
    <w:uiPriority w:val="99"/>
    <w:semiHidden/>
    <w:rsid w:val="007E6FB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6FB7"/>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E6FB7"/>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7E6FB7"/>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7E6FB7"/>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7E6FB7"/>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7E6FB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7E6FB7"/>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7E6FB7"/>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7E6FB7"/>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7E6FB7"/>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7E6FB7"/>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7E6FB7"/>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7E6FB7"/>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7E6FB7"/>
    <w:rPr>
      <w:rFonts w:ascii="Calibri" w:eastAsia="Times New Roman" w:hAnsi="Calibri" w:cs="Times New Roman"/>
      <w:sz w:val="20"/>
      <w:szCs w:val="20"/>
      <w:lang w:val="x-none" w:eastAsia="x-none" w:bidi="en-US"/>
    </w:rPr>
  </w:style>
  <w:style w:type="paragraph" w:customStyle="1" w:styleId="CompanyName">
    <w:name w:val="Company Name"/>
    <w:basedOn w:val="Normal"/>
    <w:rsid w:val="007E6FB7"/>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7E6FB7"/>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7E6FB7"/>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7E6FB7"/>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7E6FB7"/>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7E6FB7"/>
  </w:style>
  <w:style w:type="paragraph" w:customStyle="1" w:styleId="HeaderBase">
    <w:name w:val="Header Base"/>
    <w:basedOn w:val="Normal"/>
    <w:rsid w:val="007E6FB7"/>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7E6FB7"/>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7E6FB7"/>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7E6FB7"/>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7E6FB7"/>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7E6FB7"/>
    <w:pPr>
      <w:spacing w:line="240" w:lineRule="auto"/>
      <w:ind w:left="1080"/>
    </w:pPr>
  </w:style>
  <w:style w:type="paragraph" w:styleId="Index4">
    <w:name w:val="index 4"/>
    <w:basedOn w:val="IndexBase"/>
    <w:autoRedefine/>
    <w:rsid w:val="007E6FB7"/>
    <w:pPr>
      <w:spacing w:line="240" w:lineRule="auto"/>
      <w:ind w:left="1440"/>
    </w:pPr>
  </w:style>
  <w:style w:type="paragraph" w:styleId="Index5">
    <w:name w:val="index 5"/>
    <w:basedOn w:val="IndexBase"/>
    <w:autoRedefine/>
    <w:rsid w:val="007E6FB7"/>
    <w:pPr>
      <w:spacing w:line="240" w:lineRule="auto"/>
      <w:ind w:left="1800"/>
    </w:pPr>
  </w:style>
  <w:style w:type="paragraph" w:styleId="IndexHeading">
    <w:name w:val="index heading"/>
    <w:basedOn w:val="HeadingBase"/>
    <w:next w:val="Index1"/>
    <w:rsid w:val="007E6FB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7E6FB7"/>
    <w:rPr>
      <w:rFonts w:ascii="Arial Black" w:hAnsi="Arial Black"/>
      <w:spacing w:val="-4"/>
      <w:sz w:val="18"/>
    </w:rPr>
  </w:style>
  <w:style w:type="paragraph" w:styleId="List">
    <w:name w:val="List"/>
    <w:basedOn w:val="BodyText"/>
    <w:link w:val="ListChar"/>
    <w:rsid w:val="007E6FB7"/>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7E6FB7"/>
    <w:rPr>
      <w:rFonts w:ascii="Arial" w:eastAsia="Times New Roman" w:hAnsi="Arial" w:cs="Calibri"/>
      <w:spacing w:val="-5"/>
      <w:lang w:val="x-none" w:eastAsia="x-none" w:bidi="en-US"/>
    </w:rPr>
  </w:style>
  <w:style w:type="paragraph" w:styleId="List3">
    <w:name w:val="List 3"/>
    <w:basedOn w:val="List"/>
    <w:rsid w:val="007E6FB7"/>
    <w:pPr>
      <w:ind w:left="2160"/>
    </w:pPr>
  </w:style>
  <w:style w:type="paragraph" w:styleId="List4">
    <w:name w:val="List 4"/>
    <w:basedOn w:val="List"/>
    <w:rsid w:val="007E6FB7"/>
    <w:pPr>
      <w:ind w:left="2520"/>
    </w:pPr>
  </w:style>
  <w:style w:type="paragraph" w:styleId="List5">
    <w:name w:val="List 5"/>
    <w:basedOn w:val="List"/>
    <w:rsid w:val="007E6FB7"/>
    <w:pPr>
      <w:ind w:left="2880"/>
    </w:pPr>
  </w:style>
  <w:style w:type="paragraph" w:styleId="ListBullet">
    <w:name w:val="List Bullet"/>
    <w:basedOn w:val="List"/>
    <w:link w:val="ListBulletChar"/>
    <w:rsid w:val="007E6FB7"/>
    <w:pPr>
      <w:numPr>
        <w:numId w:val="97"/>
      </w:numPr>
    </w:pPr>
  </w:style>
  <w:style w:type="character" w:customStyle="1" w:styleId="ListBulletChar">
    <w:name w:val="List Bullet Char"/>
    <w:link w:val="ListBullet"/>
    <w:rsid w:val="007E6FB7"/>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7E6FB7"/>
    <w:pPr>
      <w:ind w:left="1800"/>
    </w:pPr>
  </w:style>
  <w:style w:type="character" w:customStyle="1" w:styleId="ListBullet2Char">
    <w:name w:val="List Bullet 2 Char"/>
    <w:link w:val="ListBullet2"/>
    <w:rsid w:val="007E6FB7"/>
    <w:rPr>
      <w:rFonts w:ascii="Arial" w:eastAsia="Times New Roman" w:hAnsi="Arial" w:cs="Calibri"/>
      <w:spacing w:val="-5"/>
      <w:lang w:val="x-none" w:eastAsia="x-none" w:bidi="en-US"/>
    </w:rPr>
  </w:style>
  <w:style w:type="paragraph" w:styleId="ListBullet3">
    <w:name w:val="List Bullet 3"/>
    <w:basedOn w:val="ListBullet"/>
    <w:autoRedefine/>
    <w:rsid w:val="007E6FB7"/>
    <w:pPr>
      <w:ind w:left="2160"/>
    </w:pPr>
  </w:style>
  <w:style w:type="paragraph" w:styleId="ListBullet4">
    <w:name w:val="List Bullet 4"/>
    <w:basedOn w:val="ListBullet"/>
    <w:autoRedefine/>
    <w:rsid w:val="007E6FB7"/>
    <w:pPr>
      <w:ind w:left="2520"/>
    </w:pPr>
  </w:style>
  <w:style w:type="paragraph" w:styleId="ListBullet5">
    <w:name w:val="List Bullet 5"/>
    <w:basedOn w:val="ListBullet"/>
    <w:autoRedefine/>
    <w:rsid w:val="007E6FB7"/>
    <w:pPr>
      <w:ind w:left="2880"/>
    </w:pPr>
  </w:style>
  <w:style w:type="paragraph" w:styleId="ListContinue">
    <w:name w:val="List Continue"/>
    <w:basedOn w:val="List"/>
    <w:rsid w:val="007E6FB7"/>
    <w:pPr>
      <w:ind w:firstLine="0"/>
    </w:pPr>
  </w:style>
  <w:style w:type="paragraph" w:styleId="ListContinue2">
    <w:name w:val="List Continue 2"/>
    <w:basedOn w:val="ListContinue"/>
    <w:rsid w:val="007E6FB7"/>
    <w:pPr>
      <w:ind w:left="2160"/>
    </w:pPr>
  </w:style>
  <w:style w:type="paragraph" w:styleId="ListContinue3">
    <w:name w:val="List Continue 3"/>
    <w:basedOn w:val="ListContinue"/>
    <w:rsid w:val="007E6FB7"/>
    <w:pPr>
      <w:ind w:left="2520"/>
    </w:pPr>
  </w:style>
  <w:style w:type="paragraph" w:styleId="ListContinue4">
    <w:name w:val="List Continue 4"/>
    <w:basedOn w:val="ListContinue"/>
    <w:rsid w:val="007E6FB7"/>
    <w:pPr>
      <w:ind w:left="2880"/>
    </w:pPr>
  </w:style>
  <w:style w:type="paragraph" w:styleId="ListContinue5">
    <w:name w:val="List Continue 5"/>
    <w:basedOn w:val="ListContinue"/>
    <w:rsid w:val="007E6FB7"/>
    <w:pPr>
      <w:ind w:left="3240"/>
    </w:pPr>
  </w:style>
  <w:style w:type="paragraph" w:styleId="ListNumber">
    <w:name w:val="List Number"/>
    <w:basedOn w:val="List"/>
    <w:rsid w:val="007E6FB7"/>
    <w:pPr>
      <w:ind w:left="0" w:firstLine="0"/>
    </w:pPr>
  </w:style>
  <w:style w:type="paragraph" w:styleId="ListNumber2">
    <w:name w:val="List Number 2"/>
    <w:basedOn w:val="ListNumber"/>
    <w:rsid w:val="007E6FB7"/>
    <w:pPr>
      <w:ind w:left="1800"/>
    </w:pPr>
  </w:style>
  <w:style w:type="paragraph" w:styleId="ListNumber3">
    <w:name w:val="List Number 3"/>
    <w:basedOn w:val="ListNumber"/>
    <w:rsid w:val="007E6FB7"/>
    <w:pPr>
      <w:ind w:left="2160"/>
    </w:pPr>
  </w:style>
  <w:style w:type="paragraph" w:styleId="ListNumber4">
    <w:name w:val="List Number 4"/>
    <w:basedOn w:val="ListNumber"/>
    <w:rsid w:val="007E6FB7"/>
    <w:pPr>
      <w:ind w:left="2520"/>
    </w:pPr>
  </w:style>
  <w:style w:type="paragraph" w:styleId="ListNumber5">
    <w:name w:val="List Number 5"/>
    <w:basedOn w:val="ListNumber"/>
    <w:rsid w:val="007E6FB7"/>
    <w:pPr>
      <w:ind w:left="2880"/>
    </w:pPr>
  </w:style>
  <w:style w:type="paragraph" w:customStyle="1" w:styleId="TableHeader">
    <w:name w:val="Table Header"/>
    <w:basedOn w:val="Normal"/>
    <w:rsid w:val="007E6FB7"/>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7E6FB7"/>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7E6FB7"/>
    <w:rPr>
      <w:rFonts w:ascii="Arial" w:eastAsia="Times New Roman" w:hAnsi="Arial" w:cs="Calibri"/>
      <w:lang w:val="x-none" w:eastAsia="x-none" w:bidi="en-US"/>
    </w:rPr>
  </w:style>
  <w:style w:type="paragraph" w:styleId="NormalIndent">
    <w:name w:val="Normal Indent"/>
    <w:basedOn w:val="Normal"/>
    <w:rsid w:val="007E6FB7"/>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7E6FB7"/>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7E6FB7"/>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7E6FB7"/>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7E6FB7"/>
    <w:pPr>
      <w:pBdr>
        <w:bottom w:val="single" w:sz="6" w:space="2" w:color="auto"/>
      </w:pBdr>
      <w:spacing w:before="360" w:after="960"/>
      <w:ind w:left="0"/>
    </w:pPr>
    <w:rPr>
      <w:rFonts w:ascii="Arial Black" w:hAnsi="Arial Black"/>
      <w:spacing w:val="-35"/>
      <w:sz w:val="54"/>
    </w:rPr>
  </w:style>
  <w:style w:type="character" w:customStyle="1" w:styleId="Slogan">
    <w:name w:val="Slogan"/>
    <w:rsid w:val="007E6FB7"/>
    <w:rPr>
      <w:i/>
      <w:spacing w:val="-6"/>
      <w:sz w:val="24"/>
    </w:rPr>
  </w:style>
  <w:style w:type="paragraph" w:customStyle="1" w:styleId="SubtitleCover">
    <w:name w:val="Subtitle Cover"/>
    <w:basedOn w:val="TitleCover"/>
    <w:next w:val="BodyText"/>
    <w:rsid w:val="007E6FB7"/>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7E6FB7"/>
    <w:rPr>
      <w:b/>
      <w:vertAlign w:val="superscript"/>
    </w:rPr>
  </w:style>
  <w:style w:type="paragraph" w:styleId="TableofAuthorities">
    <w:name w:val="table of authorities"/>
    <w:basedOn w:val="Normal"/>
    <w:rsid w:val="007E6FB7"/>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7E6FB7"/>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7E6FB7"/>
    <w:pPr>
      <w:ind w:left="1440" w:hanging="360"/>
    </w:pPr>
  </w:style>
  <w:style w:type="table" w:styleId="TableClassic4">
    <w:name w:val="Table Classic 4"/>
    <w:basedOn w:val="TableNormal"/>
    <w:rsid w:val="007E6FB7"/>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6FB7"/>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7E6FB7"/>
    <w:rPr>
      <w:b/>
      <w:color w:val="DC6138"/>
    </w:rPr>
  </w:style>
  <w:style w:type="paragraph" w:styleId="Quote">
    <w:name w:val="Quote"/>
    <w:basedOn w:val="Normal"/>
    <w:next w:val="Normal"/>
    <w:link w:val="QuoteChar"/>
    <w:uiPriority w:val="29"/>
    <w:qFormat/>
    <w:rsid w:val="007E6FB7"/>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7E6FB7"/>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7E6FB7"/>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7E6FB7"/>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7E6FB7"/>
    <w:rPr>
      <w:b/>
      <w:i/>
      <w:color w:val="DC6138"/>
      <w:spacing w:val="10"/>
    </w:rPr>
  </w:style>
  <w:style w:type="character" w:styleId="SubtleReference">
    <w:name w:val="Subtle Reference"/>
    <w:uiPriority w:val="31"/>
    <w:qFormat/>
    <w:rsid w:val="007E6FB7"/>
    <w:rPr>
      <w:b/>
    </w:rPr>
  </w:style>
  <w:style w:type="character" w:styleId="IntenseReference">
    <w:name w:val="Intense Reference"/>
    <w:uiPriority w:val="32"/>
    <w:qFormat/>
    <w:rsid w:val="007E6FB7"/>
    <w:rPr>
      <w:b/>
      <w:bCs/>
      <w:smallCaps/>
      <w:spacing w:val="5"/>
      <w:sz w:val="22"/>
      <w:szCs w:val="22"/>
      <w:u w:val="single"/>
    </w:rPr>
  </w:style>
  <w:style w:type="character" w:styleId="BookTitle">
    <w:name w:val="Book Title"/>
    <w:uiPriority w:val="33"/>
    <w:qFormat/>
    <w:rsid w:val="007E6FB7"/>
    <w:rPr>
      <w:rFonts w:ascii="Calibri" w:eastAsia="Times New Roman" w:hAnsi="Calibri" w:cs="Times New Roman"/>
      <w:i/>
      <w:iCs/>
      <w:sz w:val="20"/>
      <w:szCs w:val="20"/>
    </w:rPr>
  </w:style>
  <w:style w:type="paragraph" w:customStyle="1" w:styleId="Style1">
    <w:name w:val="Style1"/>
    <w:basedOn w:val="Heading1"/>
    <w:link w:val="Style1Char"/>
    <w:qFormat/>
    <w:rsid w:val="007E6FB7"/>
    <w:pPr>
      <w:numPr>
        <w:ilvl w:val="1"/>
        <w:numId w:val="98"/>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7E6FB7"/>
    <w:rPr>
      <w:rFonts w:ascii="Calibri" w:eastAsia="Times New Roman" w:hAnsi="Calibri" w:cs="Calibri"/>
      <w:smallCaps/>
      <w:spacing w:val="5"/>
      <w:sz w:val="24"/>
      <w:szCs w:val="24"/>
      <w:lang w:val="x-none" w:eastAsia="x-none" w:bidi="en-US"/>
    </w:rPr>
  </w:style>
  <w:style w:type="character" w:customStyle="1" w:styleId="st1">
    <w:name w:val="st1"/>
    <w:rsid w:val="007E6FB7"/>
  </w:style>
  <w:style w:type="paragraph" w:customStyle="1" w:styleId="font5">
    <w:name w:val="font5"/>
    <w:basedOn w:val="Normal"/>
    <w:rsid w:val="007E6FB7"/>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7E6FB7"/>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7E6FB7"/>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7E6F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7E6F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7E6FB7"/>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7E6FB7"/>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7E6FB7"/>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7E6FB7"/>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7E6FB7"/>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7E6FB7"/>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7E6FB7"/>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7E6FB7"/>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7E6FB7"/>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7E6FB7"/>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7E6FB7"/>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7E6FB7"/>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7E6FB7"/>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7E6FB7"/>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7E6FB7"/>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7E6FB7"/>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7E6FB7"/>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7E6FB7"/>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7E6FB7"/>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7E6FB7"/>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7E6FB7"/>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7E6FB7"/>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7E6FB7"/>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7E6FB7"/>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7E6FB7"/>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7E6FB7"/>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7E6FB7"/>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7E6FB7"/>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7E6FB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7E6FB7"/>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7E6FB7"/>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7E6FB7"/>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7E6FB7"/>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7E6FB7"/>
    <w:pPr>
      <w:contextualSpacing w:val="0"/>
    </w:pPr>
    <w:rPr>
      <w:rFonts w:ascii="Calibri" w:eastAsia="Times New Roman" w:hAnsi="Calibri" w:cs="Times New Roman"/>
      <w:b/>
      <w:color w:val="auto"/>
      <w:sz w:val="28"/>
      <w:szCs w:val="28"/>
      <w:lang w:val="x-none" w:eastAsia="x-none"/>
    </w:rPr>
  </w:style>
  <w:style w:type="character" w:customStyle="1" w:styleId="HeadingChar">
    <w:name w:val="Heading Char"/>
    <w:basedOn w:val="Heading5Char"/>
    <w:link w:val="Heading"/>
    <w:rsid w:val="007E6FB7"/>
    <w:rPr>
      <w:rFonts w:ascii="Calibri" w:eastAsia="Times New Roman" w:hAnsi="Calibri" w:cs="Times New Roman"/>
      <w:b/>
      <w:kern w:val="16"/>
      <w:sz w:val="28"/>
      <w:szCs w:val="28"/>
      <w:lang w:val="x-none" w:eastAsia="x-none"/>
    </w:rPr>
  </w:style>
  <w:style w:type="character" w:customStyle="1" w:styleId="aqj">
    <w:name w:val="aqj"/>
    <w:basedOn w:val="DefaultParagraphFont"/>
    <w:rsid w:val="007E6FB7"/>
  </w:style>
  <w:style w:type="character" w:customStyle="1" w:styleId="UnresolvedMention2">
    <w:name w:val="Unresolved Mention2"/>
    <w:basedOn w:val="DefaultParagraphFont"/>
    <w:uiPriority w:val="99"/>
    <w:semiHidden/>
    <w:unhideWhenUsed/>
    <w:rsid w:val="007E6FB7"/>
    <w:rPr>
      <w:color w:val="808080"/>
      <w:shd w:val="clear" w:color="auto" w:fill="E6E6E6"/>
    </w:rPr>
  </w:style>
  <w:style w:type="paragraph" w:customStyle="1" w:styleId="TableParagraph">
    <w:name w:val="Table Paragraph"/>
    <w:basedOn w:val="Normal"/>
    <w:uiPriority w:val="1"/>
    <w:qFormat/>
    <w:rsid w:val="007E6FB7"/>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7E6FB7"/>
    <w:rPr>
      <w:color w:val="605E5C"/>
      <w:shd w:val="clear" w:color="auto" w:fill="E1DFDD"/>
    </w:rPr>
  </w:style>
  <w:style w:type="character" w:customStyle="1" w:styleId="UnresolvedMention4">
    <w:name w:val="Unresolved Mention4"/>
    <w:basedOn w:val="DefaultParagraphFont"/>
    <w:uiPriority w:val="99"/>
    <w:semiHidden/>
    <w:unhideWhenUsed/>
    <w:rsid w:val="00613074"/>
    <w:rPr>
      <w:color w:val="605E5C"/>
      <w:shd w:val="clear" w:color="auto" w:fill="E1DFDD"/>
    </w:rPr>
  </w:style>
  <w:style w:type="character" w:styleId="UnresolvedMention">
    <w:name w:val="Unresolved Mention"/>
    <w:basedOn w:val="DefaultParagraphFont"/>
    <w:uiPriority w:val="99"/>
    <w:semiHidden/>
    <w:unhideWhenUsed/>
    <w:rsid w:val="00C02302"/>
    <w:rPr>
      <w:color w:val="605E5C"/>
      <w:shd w:val="clear" w:color="auto" w:fill="E1DFDD"/>
    </w:rPr>
  </w:style>
  <w:style w:type="table" w:customStyle="1" w:styleId="TableGrid3">
    <w:name w:val="Table Grid3"/>
    <w:basedOn w:val="TableNormal"/>
    <w:next w:val="TableGrid"/>
    <w:uiPriority w:val="59"/>
    <w:rsid w:val="00C13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49E9"/>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15CF3"/>
  </w:style>
  <w:style w:type="character" w:customStyle="1" w:styleId="eop">
    <w:name w:val="eop"/>
    <w:basedOn w:val="DefaultParagraphFont"/>
    <w:rsid w:val="00B15CF3"/>
  </w:style>
  <w:style w:type="table" w:customStyle="1" w:styleId="TableGrid22">
    <w:name w:val="Table Grid22"/>
    <w:basedOn w:val="TableNormal"/>
    <w:next w:val="TableGrid"/>
    <w:uiPriority w:val="59"/>
    <w:rsid w:val="004E74A0"/>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74A0"/>
    <w:pPr>
      <w:spacing w:before="100" w:beforeAutospacing="1" w:after="100" w:afterAutospacing="1"/>
      <w:contextualSpacing w:val="0"/>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85">
      <w:bodyDiv w:val="1"/>
      <w:marLeft w:val="0"/>
      <w:marRight w:val="0"/>
      <w:marTop w:val="0"/>
      <w:marBottom w:val="0"/>
      <w:divBdr>
        <w:top w:val="none" w:sz="0" w:space="0" w:color="auto"/>
        <w:left w:val="none" w:sz="0" w:space="0" w:color="auto"/>
        <w:bottom w:val="none" w:sz="0" w:space="0" w:color="auto"/>
        <w:right w:val="none" w:sz="0" w:space="0" w:color="auto"/>
      </w:divBdr>
    </w:div>
    <w:div w:id="201863430">
      <w:bodyDiv w:val="1"/>
      <w:marLeft w:val="0"/>
      <w:marRight w:val="0"/>
      <w:marTop w:val="0"/>
      <w:marBottom w:val="0"/>
      <w:divBdr>
        <w:top w:val="none" w:sz="0" w:space="0" w:color="auto"/>
        <w:left w:val="none" w:sz="0" w:space="0" w:color="auto"/>
        <w:bottom w:val="none" w:sz="0" w:space="0" w:color="auto"/>
        <w:right w:val="none" w:sz="0" w:space="0" w:color="auto"/>
      </w:divBdr>
    </w:div>
    <w:div w:id="312489128">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06528733">
      <w:bodyDiv w:val="1"/>
      <w:marLeft w:val="0"/>
      <w:marRight w:val="0"/>
      <w:marTop w:val="0"/>
      <w:marBottom w:val="0"/>
      <w:divBdr>
        <w:top w:val="none" w:sz="0" w:space="0" w:color="auto"/>
        <w:left w:val="none" w:sz="0" w:space="0" w:color="auto"/>
        <w:bottom w:val="none" w:sz="0" w:space="0" w:color="auto"/>
        <w:right w:val="none" w:sz="0" w:space="0" w:color="auto"/>
      </w:divBdr>
    </w:div>
    <w:div w:id="591428942">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688678351">
      <w:bodyDiv w:val="1"/>
      <w:marLeft w:val="0"/>
      <w:marRight w:val="0"/>
      <w:marTop w:val="0"/>
      <w:marBottom w:val="0"/>
      <w:divBdr>
        <w:top w:val="none" w:sz="0" w:space="0" w:color="auto"/>
        <w:left w:val="none" w:sz="0" w:space="0" w:color="auto"/>
        <w:bottom w:val="none" w:sz="0" w:space="0" w:color="auto"/>
        <w:right w:val="none" w:sz="0" w:space="0" w:color="auto"/>
      </w:divBdr>
    </w:div>
    <w:div w:id="915240908">
      <w:bodyDiv w:val="1"/>
      <w:marLeft w:val="0"/>
      <w:marRight w:val="0"/>
      <w:marTop w:val="0"/>
      <w:marBottom w:val="0"/>
      <w:divBdr>
        <w:top w:val="none" w:sz="0" w:space="0" w:color="auto"/>
        <w:left w:val="none" w:sz="0" w:space="0" w:color="auto"/>
        <w:bottom w:val="none" w:sz="0" w:space="0" w:color="auto"/>
        <w:right w:val="none" w:sz="0" w:space="0" w:color="auto"/>
      </w:divBdr>
    </w:div>
    <w:div w:id="1047265387">
      <w:bodyDiv w:val="1"/>
      <w:marLeft w:val="0"/>
      <w:marRight w:val="0"/>
      <w:marTop w:val="0"/>
      <w:marBottom w:val="0"/>
      <w:divBdr>
        <w:top w:val="none" w:sz="0" w:space="0" w:color="auto"/>
        <w:left w:val="none" w:sz="0" w:space="0" w:color="auto"/>
        <w:bottom w:val="none" w:sz="0" w:space="0" w:color="auto"/>
        <w:right w:val="none" w:sz="0" w:space="0" w:color="auto"/>
      </w:divBdr>
    </w:div>
    <w:div w:id="1253785129">
      <w:bodyDiv w:val="1"/>
      <w:marLeft w:val="0"/>
      <w:marRight w:val="0"/>
      <w:marTop w:val="0"/>
      <w:marBottom w:val="0"/>
      <w:divBdr>
        <w:top w:val="none" w:sz="0" w:space="0" w:color="auto"/>
        <w:left w:val="none" w:sz="0" w:space="0" w:color="auto"/>
        <w:bottom w:val="none" w:sz="0" w:space="0" w:color="auto"/>
        <w:right w:val="none" w:sz="0" w:space="0" w:color="auto"/>
      </w:divBdr>
    </w:div>
    <w:div w:id="1266618416">
      <w:bodyDiv w:val="1"/>
      <w:marLeft w:val="0"/>
      <w:marRight w:val="0"/>
      <w:marTop w:val="0"/>
      <w:marBottom w:val="0"/>
      <w:divBdr>
        <w:top w:val="none" w:sz="0" w:space="0" w:color="auto"/>
        <w:left w:val="none" w:sz="0" w:space="0" w:color="auto"/>
        <w:bottom w:val="none" w:sz="0" w:space="0" w:color="auto"/>
        <w:right w:val="none" w:sz="0" w:space="0" w:color="auto"/>
      </w:divBdr>
    </w:div>
    <w:div w:id="1310357025">
      <w:bodyDiv w:val="1"/>
      <w:marLeft w:val="0"/>
      <w:marRight w:val="0"/>
      <w:marTop w:val="0"/>
      <w:marBottom w:val="0"/>
      <w:divBdr>
        <w:top w:val="none" w:sz="0" w:space="0" w:color="auto"/>
        <w:left w:val="none" w:sz="0" w:space="0" w:color="auto"/>
        <w:bottom w:val="none" w:sz="0" w:space="0" w:color="auto"/>
        <w:right w:val="none" w:sz="0" w:space="0" w:color="auto"/>
      </w:divBdr>
    </w:div>
    <w:div w:id="138884274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08117680">
      <w:bodyDiv w:val="1"/>
      <w:marLeft w:val="0"/>
      <w:marRight w:val="0"/>
      <w:marTop w:val="0"/>
      <w:marBottom w:val="0"/>
      <w:divBdr>
        <w:top w:val="none" w:sz="0" w:space="0" w:color="auto"/>
        <w:left w:val="none" w:sz="0" w:space="0" w:color="auto"/>
        <w:bottom w:val="none" w:sz="0" w:space="0" w:color="auto"/>
        <w:right w:val="none" w:sz="0" w:space="0" w:color="auto"/>
      </w:divBdr>
      <w:divsChild>
        <w:div w:id="2133395763">
          <w:marLeft w:val="720"/>
          <w:marRight w:val="0"/>
          <w:marTop w:val="120"/>
          <w:marBottom w:val="0"/>
          <w:divBdr>
            <w:top w:val="none" w:sz="0" w:space="0" w:color="auto"/>
            <w:left w:val="none" w:sz="0" w:space="0" w:color="auto"/>
            <w:bottom w:val="none" w:sz="0" w:space="0" w:color="auto"/>
            <w:right w:val="none" w:sz="0" w:space="0" w:color="auto"/>
          </w:divBdr>
        </w:div>
        <w:div w:id="1592884406">
          <w:marLeft w:val="720"/>
          <w:marRight w:val="0"/>
          <w:marTop w:val="120"/>
          <w:marBottom w:val="0"/>
          <w:divBdr>
            <w:top w:val="none" w:sz="0" w:space="0" w:color="auto"/>
            <w:left w:val="none" w:sz="0" w:space="0" w:color="auto"/>
            <w:bottom w:val="none" w:sz="0" w:space="0" w:color="auto"/>
            <w:right w:val="none" w:sz="0" w:space="0" w:color="auto"/>
          </w:divBdr>
        </w:div>
        <w:div w:id="1583682822">
          <w:marLeft w:val="720"/>
          <w:marRight w:val="0"/>
          <w:marTop w:val="120"/>
          <w:marBottom w:val="0"/>
          <w:divBdr>
            <w:top w:val="none" w:sz="0" w:space="0" w:color="auto"/>
            <w:left w:val="none" w:sz="0" w:space="0" w:color="auto"/>
            <w:bottom w:val="none" w:sz="0" w:space="0" w:color="auto"/>
            <w:right w:val="none" w:sz="0" w:space="0" w:color="auto"/>
          </w:divBdr>
        </w:div>
        <w:div w:id="1384215723">
          <w:marLeft w:val="720"/>
          <w:marRight w:val="0"/>
          <w:marTop w:val="120"/>
          <w:marBottom w:val="0"/>
          <w:divBdr>
            <w:top w:val="none" w:sz="0" w:space="0" w:color="auto"/>
            <w:left w:val="none" w:sz="0" w:space="0" w:color="auto"/>
            <w:bottom w:val="none" w:sz="0" w:space="0" w:color="auto"/>
            <w:right w:val="none" w:sz="0" w:space="0" w:color="auto"/>
          </w:divBdr>
        </w:div>
        <w:div w:id="298387682">
          <w:marLeft w:val="720"/>
          <w:marRight w:val="0"/>
          <w:marTop w:val="120"/>
          <w:marBottom w:val="0"/>
          <w:divBdr>
            <w:top w:val="none" w:sz="0" w:space="0" w:color="auto"/>
            <w:left w:val="none" w:sz="0" w:space="0" w:color="auto"/>
            <w:bottom w:val="none" w:sz="0" w:space="0" w:color="auto"/>
            <w:right w:val="none" w:sz="0" w:space="0" w:color="auto"/>
          </w:divBdr>
        </w:div>
        <w:div w:id="611205834">
          <w:marLeft w:val="720"/>
          <w:marRight w:val="0"/>
          <w:marTop w:val="120"/>
          <w:marBottom w:val="0"/>
          <w:divBdr>
            <w:top w:val="none" w:sz="0" w:space="0" w:color="auto"/>
            <w:left w:val="none" w:sz="0" w:space="0" w:color="auto"/>
            <w:bottom w:val="none" w:sz="0" w:space="0" w:color="auto"/>
            <w:right w:val="none" w:sz="0" w:space="0" w:color="auto"/>
          </w:divBdr>
        </w:div>
      </w:divsChild>
    </w:div>
    <w:div w:id="147706457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09364725">
      <w:bodyDiv w:val="1"/>
      <w:marLeft w:val="0"/>
      <w:marRight w:val="0"/>
      <w:marTop w:val="0"/>
      <w:marBottom w:val="0"/>
      <w:divBdr>
        <w:top w:val="none" w:sz="0" w:space="0" w:color="auto"/>
        <w:left w:val="none" w:sz="0" w:space="0" w:color="auto"/>
        <w:bottom w:val="none" w:sz="0" w:space="0" w:color="auto"/>
        <w:right w:val="none" w:sz="0" w:space="0" w:color="auto"/>
      </w:divBdr>
    </w:div>
    <w:div w:id="1565675851">
      <w:bodyDiv w:val="1"/>
      <w:marLeft w:val="0"/>
      <w:marRight w:val="0"/>
      <w:marTop w:val="0"/>
      <w:marBottom w:val="0"/>
      <w:divBdr>
        <w:top w:val="none" w:sz="0" w:space="0" w:color="auto"/>
        <w:left w:val="none" w:sz="0" w:space="0" w:color="auto"/>
        <w:bottom w:val="none" w:sz="0" w:space="0" w:color="auto"/>
        <w:right w:val="none" w:sz="0" w:space="0" w:color="auto"/>
      </w:divBdr>
    </w:div>
    <w:div w:id="1612515557">
      <w:bodyDiv w:val="1"/>
      <w:marLeft w:val="0"/>
      <w:marRight w:val="0"/>
      <w:marTop w:val="0"/>
      <w:marBottom w:val="0"/>
      <w:divBdr>
        <w:top w:val="none" w:sz="0" w:space="0" w:color="auto"/>
        <w:left w:val="none" w:sz="0" w:space="0" w:color="auto"/>
        <w:bottom w:val="none" w:sz="0" w:space="0" w:color="auto"/>
        <w:right w:val="none" w:sz="0" w:space="0" w:color="auto"/>
      </w:divBdr>
    </w:div>
    <w:div w:id="1665547529">
      <w:bodyDiv w:val="1"/>
      <w:marLeft w:val="0"/>
      <w:marRight w:val="0"/>
      <w:marTop w:val="0"/>
      <w:marBottom w:val="0"/>
      <w:divBdr>
        <w:top w:val="none" w:sz="0" w:space="0" w:color="auto"/>
        <w:left w:val="none" w:sz="0" w:space="0" w:color="auto"/>
        <w:bottom w:val="none" w:sz="0" w:space="0" w:color="auto"/>
        <w:right w:val="none" w:sz="0" w:space="0" w:color="auto"/>
      </w:divBdr>
    </w:div>
    <w:div w:id="1712460606">
      <w:bodyDiv w:val="1"/>
      <w:marLeft w:val="0"/>
      <w:marRight w:val="0"/>
      <w:marTop w:val="0"/>
      <w:marBottom w:val="0"/>
      <w:divBdr>
        <w:top w:val="none" w:sz="0" w:space="0" w:color="auto"/>
        <w:left w:val="none" w:sz="0" w:space="0" w:color="auto"/>
        <w:bottom w:val="none" w:sz="0" w:space="0" w:color="auto"/>
        <w:right w:val="none" w:sz="0" w:space="0" w:color="auto"/>
      </w:divBdr>
    </w:div>
    <w:div w:id="18893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finance/sfcoa" TargetMode="External"/><Relationship Id="rId13" Type="http://schemas.openxmlformats.org/officeDocument/2006/relationships/hyperlink" Target="https://www.cde.state.co.us/transportation/251998" TargetMode="External"/><Relationship Id="rId18" Type="http://schemas.openxmlformats.org/officeDocument/2006/relationships/hyperlink" Target="https://www2.ed.gov/policy/elsec/leg/essa/essaflexibilitiesseapresentat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ed.gov/policy/elsec/leg/essa/essassaegrantguid10212016.pdf" TargetMode="External"/><Relationship Id="rId7" Type="http://schemas.openxmlformats.org/officeDocument/2006/relationships/endnotes" Target="endnotes.xml"/><Relationship Id="rId12" Type="http://schemas.openxmlformats.org/officeDocument/2006/relationships/hyperlink" Target="https://www.cde.state.co.us/transportation/252007" TargetMode="External"/><Relationship Id="rId17" Type="http://schemas.openxmlformats.org/officeDocument/2006/relationships/hyperlink" Target="https://oese.ed.gov/files/2017/12/CSP-ESSA-Flexibilities-FAQ-201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state.co.us/sites/default/files/documents/cdenutritran/download/pdf/transportation/nutri-transrule301.14.pdf" TargetMode="External"/><Relationship Id="rId20" Type="http://schemas.openxmlformats.org/officeDocument/2006/relationships/hyperlink" Target="https://www.gpo.gov/fdsys/granule/CFR-2014-title2-vol1/CFR-2014-title2-vol1-part200/content-detai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transportation/252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de.state.co.us/transportation/finaltransportationoperationruleseffectivejuly82016" TargetMode="External"/><Relationship Id="rId23" Type="http://schemas.openxmlformats.org/officeDocument/2006/relationships/header" Target="header2.xml"/><Relationship Id="rId10" Type="http://schemas.openxmlformats.org/officeDocument/2006/relationships/hyperlink" Target="https://www.cde.state.co.us/cdefinance/sfcoa" TargetMode="External"/><Relationship Id="rId19" Type="http://schemas.openxmlformats.org/officeDocument/2006/relationships/hyperlink" Target="https://www2.ed.gov/policy/elsec/leg/essa/essaflexibilitiesseapresentation.pdf" TargetMode="External"/><Relationship Id="rId4" Type="http://schemas.openxmlformats.org/officeDocument/2006/relationships/settings" Target="settings.xml"/><Relationship Id="rId9" Type="http://schemas.openxmlformats.org/officeDocument/2006/relationships/hyperlink" Target="mailto:CCSP_GFMU@cde.state.co.us" TargetMode="External"/><Relationship Id="rId14" Type="http://schemas.openxmlformats.org/officeDocument/2006/relationships/hyperlink" Target="https://www.cde.state.co.us/transportation/25-1993"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82E94-ACC5-4F58-BE2D-A4C14861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5190</Words>
  <Characters>29587</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Bell, Tanesha</cp:lastModifiedBy>
  <cp:revision>17</cp:revision>
  <cp:lastPrinted>2022-08-03T03:00:00Z</cp:lastPrinted>
  <dcterms:created xsi:type="dcterms:W3CDTF">2022-07-25T15:44:00Z</dcterms:created>
  <dcterms:modified xsi:type="dcterms:W3CDTF">2022-08-03T03:00:00Z</dcterms:modified>
</cp:coreProperties>
</file>