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254F" w14:textId="063CC14D" w:rsidR="005C69F5" w:rsidRPr="005C69F5" w:rsidRDefault="005C69F5" w:rsidP="005C69F5">
      <w:pPr>
        <w:jc w:val="center"/>
        <w:rPr>
          <w:b/>
          <w:bCs/>
        </w:rPr>
      </w:pPr>
      <w:r>
        <w:rPr>
          <w:b/>
          <w:bCs/>
        </w:rPr>
        <w:t>ARP ESSER III Data Report Limitations and Planned Action Steps</w:t>
      </w:r>
    </w:p>
    <w:tbl>
      <w:tblPr>
        <w:tblStyle w:val="TableGrid"/>
        <w:tblW w:w="10885" w:type="dxa"/>
        <w:tblLook w:val="04A0" w:firstRow="1" w:lastRow="0" w:firstColumn="1" w:lastColumn="0" w:noHBand="0" w:noVBand="1"/>
      </w:tblPr>
      <w:tblGrid>
        <w:gridCol w:w="5305"/>
        <w:gridCol w:w="5580"/>
      </w:tblGrid>
      <w:tr w:rsidR="005C69F5" w:rsidRPr="005C69F5" w14:paraId="4A56FDF5" w14:textId="77777777" w:rsidTr="005C69F5">
        <w:trPr>
          <w:trHeight w:val="288"/>
        </w:trPr>
        <w:tc>
          <w:tcPr>
            <w:tcW w:w="5305" w:type="dxa"/>
            <w:hideMark/>
          </w:tcPr>
          <w:p w14:paraId="78A5A6CB" w14:textId="77777777" w:rsidR="005C69F5" w:rsidRPr="005C69F5" w:rsidRDefault="005C69F5" w:rsidP="005C69F5">
            <w:pPr>
              <w:jc w:val="center"/>
              <w:rPr>
                <w:b/>
                <w:bCs/>
                <w:sz w:val="28"/>
                <w:szCs w:val="28"/>
                <w:vertAlign w:val="superscript"/>
              </w:rPr>
            </w:pPr>
            <w:r w:rsidRPr="005C69F5">
              <w:rPr>
                <w:b/>
                <w:bCs/>
                <w:sz w:val="28"/>
                <w:szCs w:val="28"/>
                <w:vertAlign w:val="superscript"/>
              </w:rPr>
              <w:t>Data Limitation / Caveat</w:t>
            </w:r>
          </w:p>
        </w:tc>
        <w:tc>
          <w:tcPr>
            <w:tcW w:w="5580" w:type="dxa"/>
            <w:hideMark/>
          </w:tcPr>
          <w:p w14:paraId="05FCB276" w14:textId="77777777" w:rsidR="005C69F5" w:rsidRPr="005C69F5" w:rsidRDefault="005C69F5" w:rsidP="005C69F5">
            <w:pPr>
              <w:jc w:val="center"/>
              <w:rPr>
                <w:b/>
                <w:bCs/>
                <w:sz w:val="28"/>
                <w:szCs w:val="28"/>
                <w:vertAlign w:val="superscript"/>
              </w:rPr>
            </w:pPr>
            <w:r w:rsidRPr="005C69F5">
              <w:rPr>
                <w:b/>
                <w:bCs/>
                <w:sz w:val="28"/>
                <w:szCs w:val="28"/>
                <w:vertAlign w:val="superscript"/>
              </w:rPr>
              <w:t>Proposed Action Step(s) to Address</w:t>
            </w:r>
          </w:p>
        </w:tc>
      </w:tr>
      <w:tr w:rsidR="005C69F5" w:rsidRPr="005C69F5" w14:paraId="1ED11264" w14:textId="77777777" w:rsidTr="005C69F5">
        <w:trPr>
          <w:trHeight w:val="1440"/>
        </w:trPr>
        <w:tc>
          <w:tcPr>
            <w:tcW w:w="5305" w:type="dxa"/>
            <w:hideMark/>
          </w:tcPr>
          <w:p w14:paraId="0659767A" w14:textId="77777777" w:rsidR="005C69F5" w:rsidRPr="005C69F5" w:rsidRDefault="005C69F5">
            <w:pPr>
              <w:rPr>
                <w:sz w:val="28"/>
                <w:szCs w:val="28"/>
                <w:vertAlign w:val="superscript"/>
              </w:rPr>
            </w:pPr>
            <w:r w:rsidRPr="005C69F5">
              <w:rPr>
                <w:sz w:val="28"/>
                <w:szCs w:val="28"/>
                <w:vertAlign w:val="superscript"/>
              </w:rPr>
              <w:t>During the 2020-21 school year, there were 1,912 open public schools in Colorado (PK-12) located within 185 local education agencies (LEAs). Primary mode of instruction could not be determined for 8 LEAs. As a result, mode of instruction data was not available for 54 schools. The data tables currently reflect the remaining 1,858 schools.</w:t>
            </w:r>
          </w:p>
        </w:tc>
        <w:tc>
          <w:tcPr>
            <w:tcW w:w="5580" w:type="dxa"/>
            <w:hideMark/>
          </w:tcPr>
          <w:p w14:paraId="3122CAF6" w14:textId="77777777" w:rsidR="005C69F5" w:rsidRPr="005C69F5" w:rsidRDefault="005C69F5">
            <w:pPr>
              <w:rPr>
                <w:sz w:val="28"/>
                <w:szCs w:val="28"/>
                <w:vertAlign w:val="superscript"/>
              </w:rPr>
            </w:pPr>
            <w:r w:rsidRPr="005C69F5">
              <w:rPr>
                <w:sz w:val="28"/>
                <w:szCs w:val="28"/>
                <w:vertAlign w:val="superscript"/>
              </w:rPr>
              <w:t>Beginning with Summer 2021, CDE will continue reviewing LEAs' "Return to In-Person Instruction Plans." When possible, information within those plans will be used to add/update each LEA's primary mode of instruction. During the 2021-22 school year, CDE will continue outreach efforts to obtain the primary mode of instruction for all LEAs in the state.</w:t>
            </w:r>
          </w:p>
        </w:tc>
      </w:tr>
      <w:tr w:rsidR="005C69F5" w:rsidRPr="005C69F5" w14:paraId="62829F2F" w14:textId="77777777" w:rsidTr="005C69F5">
        <w:trPr>
          <w:trHeight w:val="2304"/>
        </w:trPr>
        <w:tc>
          <w:tcPr>
            <w:tcW w:w="5305" w:type="dxa"/>
            <w:hideMark/>
          </w:tcPr>
          <w:p w14:paraId="55BB43B2" w14:textId="77777777" w:rsidR="005C69F5" w:rsidRPr="005C69F5" w:rsidRDefault="005C69F5">
            <w:pPr>
              <w:rPr>
                <w:sz w:val="28"/>
                <w:szCs w:val="28"/>
                <w:vertAlign w:val="superscript"/>
              </w:rPr>
            </w:pPr>
            <w:r w:rsidRPr="005C69F5">
              <w:rPr>
                <w:sz w:val="28"/>
                <w:szCs w:val="28"/>
                <w:vertAlign w:val="superscript"/>
              </w:rPr>
              <w:t>School-level mode of instruction (</w:t>
            </w:r>
            <w:proofErr w:type="gramStart"/>
            <w:r w:rsidRPr="005C69F5">
              <w:rPr>
                <w:sz w:val="28"/>
                <w:szCs w:val="28"/>
                <w:vertAlign w:val="superscript"/>
              </w:rPr>
              <w:t>with the exception of</w:t>
            </w:r>
            <w:proofErr w:type="gramEnd"/>
            <w:r w:rsidRPr="005C69F5">
              <w:rPr>
                <w:sz w:val="28"/>
                <w:szCs w:val="28"/>
                <w:vertAlign w:val="superscript"/>
              </w:rPr>
              <w:t xml:space="preserve"> pre-existing online schools) is currently based on the LEA's primary mode of instruction. Although an LEA's primary mode of instruction might reflect one modality (for example, in-person at the elementary level), individual schools might be implementing a different mode of instruction (for example, hybrid) for all or some of their students based on local context and other factors. </w:t>
            </w:r>
            <w:proofErr w:type="gramStart"/>
            <w:r w:rsidRPr="005C69F5">
              <w:rPr>
                <w:sz w:val="28"/>
                <w:szCs w:val="28"/>
                <w:vertAlign w:val="superscript"/>
              </w:rPr>
              <w:t>At this time</w:t>
            </w:r>
            <w:proofErr w:type="gramEnd"/>
            <w:r w:rsidRPr="005C69F5">
              <w:rPr>
                <w:sz w:val="28"/>
                <w:szCs w:val="28"/>
                <w:vertAlign w:val="superscript"/>
              </w:rPr>
              <w:t>, school specific mode of instruction is not available, therefore the data tables reflect the LEA's primary mode of instruction.</w:t>
            </w:r>
          </w:p>
        </w:tc>
        <w:tc>
          <w:tcPr>
            <w:tcW w:w="5580" w:type="dxa"/>
            <w:hideMark/>
          </w:tcPr>
          <w:p w14:paraId="0C20D471" w14:textId="77777777" w:rsidR="005C69F5" w:rsidRPr="005C69F5" w:rsidRDefault="005C69F5">
            <w:pPr>
              <w:rPr>
                <w:sz w:val="28"/>
                <w:szCs w:val="28"/>
                <w:vertAlign w:val="superscript"/>
              </w:rPr>
            </w:pPr>
            <w:r w:rsidRPr="005C69F5">
              <w:rPr>
                <w:sz w:val="28"/>
                <w:szCs w:val="28"/>
                <w:vertAlign w:val="superscript"/>
              </w:rPr>
              <w:t>Beginning with Summer 2021, CDE will continue reviewing LEAs' "Return to In-Person Instruction Plans." When possible, information within those plans will be used to determine school-level modes of instruction. During the 2021-22 school year, CDE will continue outreach efforts to obtain each school's mode of instruction.</w:t>
            </w:r>
          </w:p>
        </w:tc>
      </w:tr>
      <w:tr w:rsidR="005C69F5" w:rsidRPr="005C69F5" w14:paraId="26E2405E" w14:textId="77777777" w:rsidTr="005C69F5">
        <w:trPr>
          <w:trHeight w:val="2304"/>
        </w:trPr>
        <w:tc>
          <w:tcPr>
            <w:tcW w:w="5305" w:type="dxa"/>
            <w:hideMark/>
          </w:tcPr>
          <w:p w14:paraId="4821A763" w14:textId="77777777" w:rsidR="005C69F5" w:rsidRPr="005C69F5" w:rsidRDefault="005C69F5">
            <w:pPr>
              <w:rPr>
                <w:sz w:val="28"/>
                <w:szCs w:val="28"/>
                <w:vertAlign w:val="superscript"/>
              </w:rPr>
            </w:pPr>
            <w:r w:rsidRPr="005C69F5">
              <w:rPr>
                <w:sz w:val="28"/>
                <w:szCs w:val="28"/>
                <w:vertAlign w:val="superscript"/>
              </w:rPr>
              <w:t>In addition to the primary mode of instruction determined for each LEA, CDE also identified that some districts offered a remote/online learning option for some students. That information is not available for all LEAs, however, and, at this time, CDE does not know which, if any, students utilized that option. Therefore, the data tables do not currently reflect that information.</w:t>
            </w:r>
          </w:p>
        </w:tc>
        <w:tc>
          <w:tcPr>
            <w:tcW w:w="5580" w:type="dxa"/>
            <w:hideMark/>
          </w:tcPr>
          <w:p w14:paraId="4E1F6E96" w14:textId="77777777" w:rsidR="005C69F5" w:rsidRPr="005C69F5" w:rsidRDefault="005C69F5">
            <w:pPr>
              <w:rPr>
                <w:sz w:val="28"/>
                <w:szCs w:val="28"/>
                <w:vertAlign w:val="superscript"/>
              </w:rPr>
            </w:pPr>
            <w:r w:rsidRPr="005C69F5">
              <w:rPr>
                <w:sz w:val="28"/>
                <w:szCs w:val="28"/>
                <w:vertAlign w:val="superscript"/>
              </w:rPr>
              <w:t xml:space="preserve">For the 2021-22 school year, CDE added an option to an existing data field in the Student Interchange data collection to identify which students are receiving </w:t>
            </w:r>
            <w:proofErr w:type="gramStart"/>
            <w:r w:rsidRPr="005C69F5">
              <w:rPr>
                <w:sz w:val="28"/>
                <w:szCs w:val="28"/>
                <w:vertAlign w:val="superscript"/>
              </w:rPr>
              <w:t>all of</w:t>
            </w:r>
            <w:proofErr w:type="gramEnd"/>
            <w:r w:rsidRPr="005C69F5">
              <w:rPr>
                <w:sz w:val="28"/>
                <w:szCs w:val="28"/>
                <w:vertAlign w:val="superscript"/>
              </w:rPr>
              <w:t xml:space="preserve"> their educational services through a 100% remote learning option provided to families who, because of public health and safety measures or precautions associated with the COVID-19 pandemic, do not want their student(s) to receive in-person learning. To the extent possible, this information will be used to determine which schools are offering remote/online only options to at least some students.</w:t>
            </w:r>
          </w:p>
        </w:tc>
      </w:tr>
      <w:tr w:rsidR="005C69F5" w:rsidRPr="005C69F5" w14:paraId="6C146C4A" w14:textId="77777777" w:rsidTr="005C69F5">
        <w:trPr>
          <w:trHeight w:val="3456"/>
        </w:trPr>
        <w:tc>
          <w:tcPr>
            <w:tcW w:w="5305" w:type="dxa"/>
            <w:hideMark/>
          </w:tcPr>
          <w:p w14:paraId="50CC21C0" w14:textId="77777777" w:rsidR="005C69F5" w:rsidRPr="005C69F5" w:rsidRDefault="005C69F5">
            <w:pPr>
              <w:rPr>
                <w:sz w:val="28"/>
                <w:szCs w:val="28"/>
                <w:vertAlign w:val="superscript"/>
              </w:rPr>
            </w:pPr>
            <w:r w:rsidRPr="005C69F5">
              <w:rPr>
                <w:sz w:val="28"/>
                <w:szCs w:val="28"/>
                <w:vertAlign w:val="superscript"/>
              </w:rPr>
              <w:t xml:space="preserve">Student enrollment counts are based on 2020-21 Student October Counts. The counts in this data table are meant to </w:t>
            </w:r>
            <w:proofErr w:type="gramStart"/>
            <w:r w:rsidRPr="005C69F5">
              <w:rPr>
                <w:sz w:val="28"/>
                <w:szCs w:val="28"/>
                <w:vertAlign w:val="superscript"/>
              </w:rPr>
              <w:t>be an approximation of</w:t>
            </w:r>
            <w:proofErr w:type="gramEnd"/>
            <w:r w:rsidRPr="005C69F5">
              <w:rPr>
                <w:sz w:val="28"/>
                <w:szCs w:val="28"/>
                <w:vertAlign w:val="superscript"/>
              </w:rPr>
              <w:t xml:space="preserve"> the students served by each mode of instruction, and do not currently reflect exact student participation within each modality. The October 2020 preschool through 12th grade pupil school membership included 883,199 students. A small number of students (n = 215), however, were reported as in facilities / detention centers, non-public schools, or as not in a school. Those students were excluded from the counts reported in the data table, since mode of instruction could not be determined. An additional 21,860 students were enrolled in the 54 schools for which mode of instruction data was not available. Those students were also excluded from the counts reported in the table. As a result, the data table currently reflects the remaining 861,124 students.</w:t>
            </w:r>
          </w:p>
        </w:tc>
        <w:tc>
          <w:tcPr>
            <w:tcW w:w="5580" w:type="dxa"/>
            <w:hideMark/>
          </w:tcPr>
          <w:p w14:paraId="4237A727" w14:textId="77777777" w:rsidR="005C69F5" w:rsidRPr="005C69F5" w:rsidRDefault="005C69F5">
            <w:pPr>
              <w:rPr>
                <w:sz w:val="28"/>
                <w:szCs w:val="28"/>
                <w:vertAlign w:val="superscript"/>
              </w:rPr>
            </w:pPr>
            <w:r w:rsidRPr="005C69F5">
              <w:rPr>
                <w:sz w:val="28"/>
                <w:szCs w:val="28"/>
                <w:vertAlign w:val="superscript"/>
              </w:rPr>
              <w:t xml:space="preserve">For the 2021-22 school year, CDE added an option to an existing data field in the Student Interchange data collection to identify which students are receiving </w:t>
            </w:r>
            <w:proofErr w:type="gramStart"/>
            <w:r w:rsidRPr="005C69F5">
              <w:rPr>
                <w:sz w:val="28"/>
                <w:szCs w:val="28"/>
                <w:vertAlign w:val="superscript"/>
              </w:rPr>
              <w:t>all of</w:t>
            </w:r>
            <w:proofErr w:type="gramEnd"/>
            <w:r w:rsidRPr="005C69F5">
              <w:rPr>
                <w:sz w:val="28"/>
                <w:szCs w:val="28"/>
                <w:vertAlign w:val="superscript"/>
              </w:rPr>
              <w:t xml:space="preserve"> their educational services through a 100% remote learning option provided to families who, because of public health and safety measures or precautions associated with the COVID-19 pandemic, do not want their student(s) to receive in-person learning. This will allow CDE to accurately report the number of students participating in remote/online only modes of instructions for the 2021-22 school year. Moving forward, CDE proposes to expand this data field to further differentiate between students receiving full-time in-person instruction and students receiving both remote/online and in-person instruction (hybrid model).</w:t>
            </w:r>
          </w:p>
        </w:tc>
      </w:tr>
    </w:tbl>
    <w:p w14:paraId="0C570005" w14:textId="20D03B50" w:rsidR="005C69F5" w:rsidRPr="005C69F5" w:rsidRDefault="005C69F5">
      <w:pPr>
        <w:rPr>
          <w:b/>
          <w:bCs/>
          <w:i/>
          <w:iCs/>
          <w:sz w:val="20"/>
          <w:szCs w:val="20"/>
          <w:vertAlign w:val="superscript"/>
        </w:rPr>
      </w:pPr>
      <w:r>
        <w:rPr>
          <w:b/>
          <w:bCs/>
          <w:i/>
          <w:iCs/>
          <w:sz w:val="20"/>
          <w:szCs w:val="20"/>
          <w:vertAlign w:val="superscript"/>
        </w:rPr>
        <w:t>June 18, 2021</w:t>
      </w:r>
    </w:p>
    <w:sectPr w:rsidR="005C69F5" w:rsidRPr="005C69F5" w:rsidSect="005C69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F5"/>
    <w:rsid w:val="005C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6EE6"/>
  <w15:chartTrackingRefBased/>
  <w15:docId w15:val="{C3715405-2C6D-4F6F-8001-8E7E4BD0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6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9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Mohajeri-Nelson, Nazanin</dc:creator>
  <cp:keywords/>
  <dc:description/>
  <cp:lastModifiedBy>Mohajeri-Nelson, Nazanin</cp:lastModifiedBy>
  <cp:revision>1</cp:revision>
  <dcterms:created xsi:type="dcterms:W3CDTF">2021-06-18T19:16:00Z</dcterms:created>
  <dcterms:modified xsi:type="dcterms:W3CDTF">2021-06-18T19:20:00Z</dcterms:modified>
</cp:coreProperties>
</file>